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7AB1E" w14:textId="77777777" w:rsidR="000B07C4" w:rsidRDefault="000B07C4">
      <w:pPr>
        <w:keepNext/>
        <w:pBdr>
          <w:top w:val="nil"/>
          <w:left w:val="nil"/>
          <w:bottom w:val="nil"/>
          <w:right w:val="nil"/>
          <w:between w:val="nil"/>
        </w:pBdr>
        <w:ind w:left="0"/>
        <w:jc w:val="left"/>
        <w:rPr>
          <w:b/>
          <w:color w:val="000000"/>
          <w:sz w:val="32"/>
          <w:szCs w:val="32"/>
        </w:rPr>
      </w:pPr>
    </w:p>
    <w:p w14:paraId="535CA90A" w14:textId="77777777" w:rsidR="000B07C4" w:rsidRDefault="00F84CBF">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24CDCA50" w14:textId="77777777" w:rsidR="000B07C4" w:rsidRDefault="00F84CBF">
      <w:pPr>
        <w:keepNext/>
        <w:numPr>
          <w:ilvl w:val="0"/>
          <w:numId w:val="2"/>
        </w:numPr>
        <w:pBdr>
          <w:top w:val="nil"/>
          <w:left w:val="nil"/>
          <w:bottom w:val="nil"/>
          <w:right w:val="nil"/>
          <w:between w:val="nil"/>
        </w:pBdr>
        <w:tabs>
          <w:tab w:val="left" w:pos="0"/>
        </w:tabs>
        <w:spacing w:before="240"/>
        <w:jc w:val="left"/>
        <w:rPr>
          <w:b/>
          <w:sz w:val="24"/>
          <w:szCs w:val="24"/>
        </w:rPr>
      </w:pPr>
      <w:bookmarkStart w:id="0" w:name="_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5D72533" w14:textId="77777777" w:rsidR="000B07C4" w:rsidRDefault="00F84CBF">
      <w:pPr>
        <w:keepNext/>
        <w:numPr>
          <w:ilvl w:val="1"/>
          <w:numId w:val="2"/>
        </w:numPr>
        <w:pBdr>
          <w:top w:val="nil"/>
          <w:left w:val="nil"/>
          <w:bottom w:val="nil"/>
          <w:right w:val="nil"/>
          <w:between w:val="nil"/>
        </w:pBdr>
        <w:spacing w:before="120" w:after="120"/>
        <w:jc w:val="left"/>
        <w:rPr>
          <w:sz w:val="24"/>
          <w:szCs w:val="24"/>
        </w:rPr>
      </w:pPr>
      <w:r>
        <w:rPr>
          <w:color w:val="000000"/>
          <w:sz w:val="24"/>
          <w:szCs w:val="24"/>
        </w:rPr>
        <w:t xml:space="preserve">In this Schedule, the following words shall have the following </w:t>
      </w:r>
      <w:proofErr w:type="gramStart"/>
      <w:r>
        <w:rPr>
          <w:color w:val="000000"/>
          <w:sz w:val="24"/>
          <w:szCs w:val="24"/>
        </w:rPr>
        <w:t>meanings</w:t>
      </w:r>
      <w:proofErr w:type="gramEnd"/>
      <w:r>
        <w:rPr>
          <w:color w:val="000000"/>
          <w:sz w:val="24"/>
          <w:szCs w:val="24"/>
        </w:rPr>
        <w:t xml:space="preserve"> and they shall supplement Joint Schedule 1 (Definitions):</w:t>
      </w:r>
    </w:p>
    <w:tbl>
      <w:tblPr>
        <w:tblStyle w:val="a"/>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0B07C4" w14:paraId="465B6A69" w14:textId="77777777">
        <w:tc>
          <w:tcPr>
            <w:tcW w:w="3097" w:type="dxa"/>
          </w:tcPr>
          <w:p w14:paraId="29BAC99B"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“Annual Revenue”</w:t>
            </w:r>
          </w:p>
        </w:tc>
        <w:tc>
          <w:tcPr>
            <w:tcW w:w="5075" w:type="dxa"/>
          </w:tcPr>
          <w:p w14:paraId="7DD4FBFF" w14:textId="77777777" w:rsidR="000B07C4" w:rsidRDefault="00F84CB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6ED46AC8" w14:textId="77777777" w:rsidR="000B07C4" w:rsidRDefault="00F84CBF">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figures for accounting periods of other than 12 months should be scaled pro rata to produce a proforma figure for a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 and</w:t>
            </w:r>
          </w:p>
          <w:p w14:paraId="66117251"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0B07C4" w14:paraId="76348871" w14:textId="77777777">
        <w:tc>
          <w:tcPr>
            <w:tcW w:w="3097" w:type="dxa"/>
          </w:tcPr>
          <w:p w14:paraId="3C0E27F2" w14:textId="77777777" w:rsidR="000B07C4" w:rsidRDefault="00F84CBF">
            <w:pPr>
              <w:pBdr>
                <w:top w:val="nil"/>
                <w:left w:val="nil"/>
                <w:bottom w:val="nil"/>
                <w:right w:val="nil"/>
                <w:between w:val="nil"/>
              </w:pBdr>
              <w:spacing w:after="120"/>
              <w:ind w:left="-108"/>
              <w:jc w:val="left"/>
              <w:rPr>
                <w:b/>
                <w:sz w:val="24"/>
                <w:szCs w:val="24"/>
              </w:rPr>
            </w:pPr>
            <w:r>
              <w:rPr>
                <w:rFonts w:ascii="Arial" w:eastAsia="Arial" w:hAnsi="Arial" w:cs="Arial"/>
                <w:b/>
                <w:sz w:val="24"/>
                <w:szCs w:val="24"/>
              </w:rPr>
              <w:t>“Appropriate Authority” or “Appropriate Authorities”</w:t>
            </w:r>
          </w:p>
        </w:tc>
        <w:tc>
          <w:tcPr>
            <w:tcW w:w="5075" w:type="dxa"/>
          </w:tcPr>
          <w:p w14:paraId="061F34AD" w14:textId="77777777" w:rsidR="000B07C4" w:rsidRDefault="00F84CBF">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0B07C4" w14:paraId="5665C43E" w14:textId="77777777">
        <w:tc>
          <w:tcPr>
            <w:tcW w:w="3097" w:type="dxa"/>
          </w:tcPr>
          <w:p w14:paraId="58634EB6" w14:textId="77777777" w:rsidR="000B07C4" w:rsidRDefault="00F84CB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“Associates”</w:t>
            </w:r>
          </w:p>
        </w:tc>
        <w:tc>
          <w:tcPr>
            <w:tcW w:w="5075" w:type="dxa"/>
          </w:tcPr>
          <w:p w14:paraId="74CF791A" w14:textId="77777777" w:rsidR="000B07C4" w:rsidRDefault="00F84CB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0B07C4" w14:paraId="3DAC8437" w14:textId="77777777">
        <w:tc>
          <w:tcPr>
            <w:tcW w:w="3097" w:type="dxa"/>
          </w:tcPr>
          <w:p w14:paraId="19266AA6" w14:textId="77777777" w:rsidR="000B07C4" w:rsidRDefault="00F84CB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14:paraId="71D619E6"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1" w:name="_30j0zll" w:colFirst="0" w:colLast="0"/>
            <w:bookmarkEnd w:id="1"/>
            <w:r>
              <w:rPr>
                <w:rFonts w:ascii="Arial" w:eastAsia="Arial" w:hAnsi="Arial" w:cs="Arial"/>
                <w:sz w:val="24"/>
                <w:szCs w:val="24"/>
              </w:rPr>
              <w:t>has the meaning given to it in Paragraph 2.2 of this Schedule;</w:t>
            </w:r>
          </w:p>
        </w:tc>
      </w:tr>
      <w:tr w:rsidR="000B07C4" w14:paraId="6AB43E2A" w14:textId="77777777">
        <w:tc>
          <w:tcPr>
            <w:tcW w:w="3097" w:type="dxa"/>
          </w:tcPr>
          <w:p w14:paraId="1E590EF8" w14:textId="77777777" w:rsidR="000B07C4" w:rsidRDefault="00F84CB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"Business Continuity Plan"</w:t>
            </w:r>
          </w:p>
        </w:tc>
        <w:tc>
          <w:tcPr>
            <w:tcW w:w="5075" w:type="dxa"/>
          </w:tcPr>
          <w:p w14:paraId="59A00387"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2.3.2 of this Schedule;</w:t>
            </w:r>
          </w:p>
        </w:tc>
      </w:tr>
      <w:tr w:rsidR="000B07C4" w14:paraId="15FD187E" w14:textId="77777777">
        <w:tc>
          <w:tcPr>
            <w:tcW w:w="3097" w:type="dxa"/>
          </w:tcPr>
          <w:p w14:paraId="1FC1AF38"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“Class 1 Transaction”</w:t>
            </w:r>
          </w:p>
        </w:tc>
        <w:tc>
          <w:tcPr>
            <w:tcW w:w="5075" w:type="dxa"/>
          </w:tcPr>
          <w:p w14:paraId="646BC8A4"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0B07C4" w14:paraId="2F441701" w14:textId="77777777">
        <w:tc>
          <w:tcPr>
            <w:tcW w:w="3097" w:type="dxa"/>
          </w:tcPr>
          <w:p w14:paraId="29A1563E"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“Control”</w:t>
            </w:r>
          </w:p>
        </w:tc>
        <w:tc>
          <w:tcPr>
            <w:tcW w:w="5075" w:type="dxa"/>
          </w:tcPr>
          <w:p w14:paraId="2D765267"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xml:space="preserve">” shall be </w:t>
            </w:r>
            <w:proofErr w:type="gramStart"/>
            <w:r>
              <w:rPr>
                <w:rFonts w:ascii="Arial" w:eastAsia="Arial" w:hAnsi="Arial" w:cs="Arial"/>
                <w:sz w:val="24"/>
                <w:szCs w:val="24"/>
              </w:rPr>
              <w:t>interpreted accordingly;</w:t>
            </w:r>
            <w:proofErr w:type="gramEnd"/>
          </w:p>
        </w:tc>
      </w:tr>
      <w:tr w:rsidR="000B07C4" w14:paraId="332F5B10" w14:textId="77777777">
        <w:tc>
          <w:tcPr>
            <w:tcW w:w="3097" w:type="dxa"/>
          </w:tcPr>
          <w:p w14:paraId="6233562E"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“Corporate Change Event”</w:t>
            </w:r>
          </w:p>
        </w:tc>
        <w:tc>
          <w:tcPr>
            <w:tcW w:w="5075" w:type="dxa"/>
          </w:tcPr>
          <w:p w14:paraId="667E143A" w14:textId="77777777" w:rsidR="000B07C4" w:rsidRDefault="00F84CBF">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14:paraId="0DDAD608" w14:textId="77777777" w:rsidR="000B07C4" w:rsidRDefault="00F84CB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any change of Control of the Supplier or a Parent Undertaking of the </w:t>
            </w:r>
            <w:proofErr w:type="gramStart"/>
            <w:r>
              <w:rPr>
                <w:rFonts w:ascii="Arial" w:eastAsia="Arial" w:hAnsi="Arial" w:cs="Arial"/>
                <w:color w:val="000000"/>
                <w:sz w:val="24"/>
                <w:szCs w:val="24"/>
              </w:rPr>
              <w:t>Supplier;</w:t>
            </w:r>
            <w:proofErr w:type="gramEnd"/>
          </w:p>
          <w:p w14:paraId="1F51A608" w14:textId="77777777" w:rsidR="000B07C4" w:rsidRDefault="00F84CB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w:t>
            </w:r>
            <w:proofErr w:type="gramStart"/>
            <w:r>
              <w:rPr>
                <w:rFonts w:ascii="Arial" w:eastAsia="Arial" w:hAnsi="Arial" w:cs="Arial"/>
                <w:color w:val="000000"/>
                <w:sz w:val="24"/>
                <w:szCs w:val="24"/>
              </w:rPr>
              <w:t>Deliverables;</w:t>
            </w:r>
            <w:proofErr w:type="gramEnd"/>
            <w:r>
              <w:rPr>
                <w:rFonts w:ascii="Arial" w:eastAsia="Arial" w:hAnsi="Arial" w:cs="Arial"/>
                <w:color w:val="000000"/>
                <w:sz w:val="24"/>
                <w:szCs w:val="24"/>
              </w:rPr>
              <w:t xml:space="preserve"> </w:t>
            </w:r>
          </w:p>
          <w:p w14:paraId="1A5B526E" w14:textId="77777777" w:rsidR="000B07C4" w:rsidRDefault="00F84CB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any change to the business of the Supplier or any member of the Supplier Group which, in the reasonable opinion of the Buyer, could have a material adverse effect on the </w:t>
            </w:r>
            <w:proofErr w:type="gramStart"/>
            <w:r>
              <w:rPr>
                <w:rFonts w:ascii="Arial" w:eastAsia="Arial" w:hAnsi="Arial" w:cs="Arial"/>
                <w:color w:val="000000"/>
                <w:sz w:val="24"/>
                <w:szCs w:val="24"/>
              </w:rPr>
              <w:t>Deliverables;</w:t>
            </w:r>
            <w:proofErr w:type="gramEnd"/>
          </w:p>
          <w:p w14:paraId="3C76116A" w14:textId="77777777" w:rsidR="000B07C4" w:rsidRDefault="00F84CB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 Class 1 Transaction taking place in relation to the shares of the Supplier or any Parent Undertaking of the Supplier whose shares are listed on the main market of the London Stock Exchange </w:t>
            </w:r>
            <w:proofErr w:type="gramStart"/>
            <w:r>
              <w:rPr>
                <w:rFonts w:ascii="Arial" w:eastAsia="Arial" w:hAnsi="Arial" w:cs="Arial"/>
                <w:color w:val="000000"/>
                <w:sz w:val="24"/>
                <w:szCs w:val="24"/>
              </w:rPr>
              <w:t>plc;</w:t>
            </w:r>
            <w:proofErr w:type="gramEnd"/>
          </w:p>
          <w:p w14:paraId="1886E5FA" w14:textId="77777777" w:rsidR="000B07C4" w:rsidRDefault="00F84CB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 event that could reasonably be regarded as being equivalent to a Class 1 Transaction taking place in respect of the Supplier or any Parent Undertaking of the </w:t>
            </w:r>
            <w:proofErr w:type="gramStart"/>
            <w:r>
              <w:rPr>
                <w:rFonts w:ascii="Arial" w:eastAsia="Arial" w:hAnsi="Arial" w:cs="Arial"/>
                <w:color w:val="000000"/>
                <w:sz w:val="24"/>
                <w:szCs w:val="24"/>
              </w:rPr>
              <w:t>Supplier;</w:t>
            </w:r>
            <w:proofErr w:type="gramEnd"/>
          </w:p>
          <w:p w14:paraId="0A3172D4" w14:textId="77777777" w:rsidR="000B07C4" w:rsidRDefault="00F84CB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payment of dividends by the Supplier or the ultimate Parent Undertaking of the Supplier Group exceeding 25% of the Net Asset Value of the Supplier or the ultimate Parent Undertaking of the Supplier Group respectively in any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w:t>
            </w:r>
          </w:p>
          <w:p w14:paraId="260EDBAD" w14:textId="77777777" w:rsidR="000B07C4" w:rsidRDefault="00F84CB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 order is </w:t>
            </w:r>
            <w:proofErr w:type="gramStart"/>
            <w:r>
              <w:rPr>
                <w:rFonts w:ascii="Arial" w:eastAsia="Arial" w:hAnsi="Arial" w:cs="Arial"/>
                <w:color w:val="000000"/>
                <w:sz w:val="24"/>
                <w:szCs w:val="24"/>
              </w:rPr>
              <w:t>made</w:t>
            </w:r>
            <w:proofErr w:type="gramEnd"/>
            <w:r>
              <w:rPr>
                <w:rFonts w:ascii="Arial" w:eastAsia="Arial" w:hAnsi="Arial" w:cs="Arial"/>
                <w:color w:val="000000"/>
                <w:sz w:val="24"/>
                <w:szCs w:val="24"/>
              </w:rPr>
              <w:t xml:space="preserve"> or an effective resolution is passed for the winding up of any member of the Supplier Group; </w:t>
            </w:r>
          </w:p>
          <w:p w14:paraId="230E3937" w14:textId="77777777" w:rsidR="000B07C4" w:rsidRDefault="00F84CB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w:t>
            </w:r>
            <w:r>
              <w:rPr>
                <w:rFonts w:ascii="Arial" w:eastAsia="Arial" w:hAnsi="Arial" w:cs="Arial"/>
                <w:color w:val="000000"/>
                <w:sz w:val="24"/>
                <w:szCs w:val="24"/>
              </w:rPr>
              <w:lastRenderedPageBreak/>
              <w:t>composition, arrangement or agreement being made with creditors of any member of the Supplier Group;</w:t>
            </w:r>
          </w:p>
          <w:p w14:paraId="73B5C3C0" w14:textId="77777777" w:rsidR="000B07C4" w:rsidRDefault="00F84CB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1F23959D" w14:textId="77777777" w:rsidR="000B07C4" w:rsidRDefault="00F84CBF">
            <w:pPr>
              <w:numPr>
                <w:ilvl w:val="3"/>
                <w:numId w:val="2"/>
              </w:numPr>
              <w:pBdr>
                <w:top w:val="nil"/>
                <w:left w:val="nil"/>
                <w:bottom w:val="nil"/>
                <w:right w:val="nil"/>
                <w:between w:val="nil"/>
              </w:pBdr>
              <w:spacing w:after="200"/>
              <w:ind w:left="0" w:firstLine="0"/>
              <w:jc w:val="left"/>
              <w:rPr>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0B07C4" w14:paraId="4B0C4FD8" w14:textId="77777777">
        <w:tc>
          <w:tcPr>
            <w:tcW w:w="3097" w:type="dxa"/>
          </w:tcPr>
          <w:p w14:paraId="3AC5430A"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National Infrastructure”</w:t>
            </w:r>
          </w:p>
        </w:tc>
        <w:tc>
          <w:tcPr>
            <w:tcW w:w="5075" w:type="dxa"/>
          </w:tcPr>
          <w:p w14:paraId="3CA9A263" w14:textId="77777777" w:rsidR="000B07C4" w:rsidRDefault="00F84CB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52C77BF1" w14:textId="77777777" w:rsidR="000B07C4" w:rsidRDefault="00F84CBF">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significant economic or social impacts; and/or</w:t>
            </w:r>
          </w:p>
          <w:p w14:paraId="49EAAD6F"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significant impact on the national security, national defence, or the functioning of the UK;</w:t>
            </w:r>
          </w:p>
        </w:tc>
      </w:tr>
      <w:tr w:rsidR="000B07C4" w14:paraId="2F677706" w14:textId="77777777">
        <w:tc>
          <w:tcPr>
            <w:tcW w:w="3097" w:type="dxa"/>
          </w:tcPr>
          <w:p w14:paraId="325FE71D"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“Critical Service Contract”</w:t>
            </w:r>
          </w:p>
        </w:tc>
        <w:tc>
          <w:tcPr>
            <w:tcW w:w="5075" w:type="dxa"/>
          </w:tcPr>
          <w:p w14:paraId="24320E9E"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0B07C4" w14:paraId="787E0830" w14:textId="77777777">
        <w:tc>
          <w:tcPr>
            <w:tcW w:w="3097" w:type="dxa"/>
          </w:tcPr>
          <w:p w14:paraId="2F4E00CA"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“CRP Information”</w:t>
            </w:r>
          </w:p>
        </w:tc>
        <w:tc>
          <w:tcPr>
            <w:tcW w:w="5075" w:type="dxa"/>
          </w:tcPr>
          <w:p w14:paraId="5E811687" w14:textId="77777777" w:rsidR="000B07C4" w:rsidRDefault="00F84CB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14:paraId="194A2E62" w14:textId="77777777" w:rsidR="000B07C4" w:rsidRDefault="00F84CB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14:paraId="4DE22A4F"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0B07C4" w14:paraId="2F0632C4" w14:textId="77777777">
        <w:tc>
          <w:tcPr>
            <w:tcW w:w="3097" w:type="dxa"/>
          </w:tcPr>
          <w:p w14:paraId="160D246F" w14:textId="77777777" w:rsidR="000B07C4" w:rsidRDefault="00F84CB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“Dependent Parent Undertaking”</w:t>
            </w:r>
          </w:p>
        </w:tc>
        <w:tc>
          <w:tcPr>
            <w:tcW w:w="5075" w:type="dxa"/>
          </w:tcPr>
          <w:p w14:paraId="113B67B5" w14:textId="77777777" w:rsidR="000B07C4" w:rsidRDefault="00F84CB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w:t>
            </w:r>
            <w:r>
              <w:rPr>
                <w:rFonts w:ascii="Arial" w:eastAsia="Arial" w:hAnsi="Arial" w:cs="Arial"/>
                <w:sz w:val="24"/>
                <w:szCs w:val="24"/>
              </w:rPr>
              <w:lastRenderedPageBreak/>
              <w:t>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0B07C4" w14:paraId="37EF9BBB" w14:textId="77777777">
        <w:tc>
          <w:tcPr>
            <w:tcW w:w="3097" w:type="dxa"/>
          </w:tcPr>
          <w:p w14:paraId="1BD662E5"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lastRenderedPageBreak/>
              <w:t>"Disaster"</w:t>
            </w:r>
          </w:p>
        </w:tc>
        <w:tc>
          <w:tcPr>
            <w:tcW w:w="5075" w:type="dxa"/>
          </w:tcPr>
          <w:p w14:paraId="0A9CAEEE"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bookmarkStart w:id="2" w:name="_1fob9te" w:colFirst="0" w:colLast="0"/>
            <w:bookmarkEnd w:id="2"/>
            <w:r>
              <w:rPr>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0B07C4" w14:paraId="1F3F3474" w14:textId="77777777">
        <w:tc>
          <w:tcPr>
            <w:tcW w:w="3097" w:type="dxa"/>
          </w:tcPr>
          <w:p w14:paraId="7E362268"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Deliverables"</w:t>
            </w:r>
          </w:p>
        </w:tc>
        <w:tc>
          <w:tcPr>
            <w:tcW w:w="5075" w:type="dxa"/>
          </w:tcPr>
          <w:p w14:paraId="7DD2E8F0" w14:textId="77777777" w:rsidR="000B07C4" w:rsidRDefault="00F84CBF">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color w:val="000000"/>
                <w:sz w:val="24"/>
                <w:szCs w:val="24"/>
              </w:rPr>
              <w:t>the Deliverables embodied in the processes and procedures for restoring the provision of Deliverables following the occurrence of a Disaster;</w:t>
            </w:r>
          </w:p>
        </w:tc>
      </w:tr>
      <w:tr w:rsidR="000B07C4" w14:paraId="581C44D7" w14:textId="77777777">
        <w:tc>
          <w:tcPr>
            <w:tcW w:w="3097" w:type="dxa"/>
          </w:tcPr>
          <w:p w14:paraId="56CC03F5"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Plan"</w:t>
            </w:r>
          </w:p>
        </w:tc>
        <w:tc>
          <w:tcPr>
            <w:tcW w:w="5075" w:type="dxa"/>
          </w:tcPr>
          <w:p w14:paraId="6BC0A239"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2.3.3 of this Schedule;</w:t>
            </w:r>
          </w:p>
        </w:tc>
      </w:tr>
      <w:tr w:rsidR="000B07C4" w14:paraId="404C8F42" w14:textId="77777777">
        <w:tc>
          <w:tcPr>
            <w:tcW w:w="3097" w:type="dxa"/>
          </w:tcPr>
          <w:p w14:paraId="4F89C7BE"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System"</w:t>
            </w:r>
          </w:p>
        </w:tc>
        <w:tc>
          <w:tcPr>
            <w:tcW w:w="5075" w:type="dxa"/>
          </w:tcPr>
          <w:p w14:paraId="73C0A37B"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the system embodied in the processes and procedures for restoring the provision of Deliverables following the occurrence of a Disaster;</w:t>
            </w:r>
          </w:p>
        </w:tc>
      </w:tr>
      <w:tr w:rsidR="000B07C4" w14:paraId="619E9DB0" w14:textId="77777777">
        <w:tc>
          <w:tcPr>
            <w:tcW w:w="3097" w:type="dxa"/>
          </w:tcPr>
          <w:p w14:paraId="5420AE44"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“Group Structure Information and Resolution Commentary”</w:t>
            </w:r>
          </w:p>
        </w:tc>
        <w:tc>
          <w:tcPr>
            <w:tcW w:w="5075" w:type="dxa"/>
          </w:tcPr>
          <w:p w14:paraId="04CA5800"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1 to Part B;</w:t>
            </w:r>
          </w:p>
        </w:tc>
      </w:tr>
      <w:tr w:rsidR="000B07C4" w14:paraId="62F23FAC" w14:textId="77777777">
        <w:tc>
          <w:tcPr>
            <w:tcW w:w="3097" w:type="dxa"/>
          </w:tcPr>
          <w:p w14:paraId="1D1450CA"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“Parent Undertaking”</w:t>
            </w:r>
          </w:p>
        </w:tc>
        <w:tc>
          <w:tcPr>
            <w:tcW w:w="5075" w:type="dxa"/>
          </w:tcPr>
          <w:p w14:paraId="2F6C25C8"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0B07C4" w14:paraId="771CCABD" w14:textId="77777777">
        <w:tc>
          <w:tcPr>
            <w:tcW w:w="3097" w:type="dxa"/>
          </w:tcPr>
          <w:p w14:paraId="02819769"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“Public Sector Dependent Supplier”</w:t>
            </w:r>
          </w:p>
        </w:tc>
        <w:tc>
          <w:tcPr>
            <w:tcW w:w="5075" w:type="dxa"/>
          </w:tcPr>
          <w:p w14:paraId="409A362A"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0B07C4" w14:paraId="2A9F6414" w14:textId="77777777">
        <w:trPr>
          <w:trHeight w:val="567"/>
        </w:trPr>
        <w:tc>
          <w:tcPr>
            <w:tcW w:w="3097" w:type="dxa"/>
          </w:tcPr>
          <w:p w14:paraId="269AB191"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"Related Supplier"</w:t>
            </w:r>
          </w:p>
        </w:tc>
        <w:tc>
          <w:tcPr>
            <w:tcW w:w="5075" w:type="dxa"/>
          </w:tcPr>
          <w:p w14:paraId="179AD9BA"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any person who provides Deliverables to the Buyer which are related to the Deliverables from time to time;</w:t>
            </w:r>
          </w:p>
        </w:tc>
      </w:tr>
      <w:tr w:rsidR="000B07C4" w14:paraId="57AB0916" w14:textId="77777777">
        <w:trPr>
          <w:trHeight w:val="567"/>
        </w:trPr>
        <w:tc>
          <w:tcPr>
            <w:tcW w:w="3097" w:type="dxa"/>
          </w:tcPr>
          <w:p w14:paraId="3FCF0CE3"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"Review Report"</w:t>
            </w:r>
          </w:p>
        </w:tc>
        <w:tc>
          <w:tcPr>
            <w:tcW w:w="5075" w:type="dxa"/>
          </w:tcPr>
          <w:p w14:paraId="052E2E18"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6.3 of this Schedule;</w:t>
            </w:r>
          </w:p>
        </w:tc>
      </w:tr>
      <w:tr w:rsidR="000B07C4" w14:paraId="71E09D77" w14:textId="77777777">
        <w:trPr>
          <w:trHeight w:val="567"/>
        </w:trPr>
        <w:tc>
          <w:tcPr>
            <w:tcW w:w="3097" w:type="dxa"/>
          </w:tcPr>
          <w:p w14:paraId="57887DF0" w14:textId="77777777" w:rsidR="000B07C4" w:rsidRDefault="00F84CBF">
            <w:pPr>
              <w:pBdr>
                <w:top w:val="nil"/>
                <w:left w:val="nil"/>
                <w:bottom w:val="nil"/>
                <w:right w:val="nil"/>
                <w:between w:val="nil"/>
              </w:pBdr>
              <w:spacing w:after="120"/>
              <w:ind w:left="-108"/>
              <w:jc w:val="left"/>
              <w:rPr>
                <w:b/>
                <w:color w:val="000000"/>
                <w:sz w:val="24"/>
                <w:szCs w:val="24"/>
              </w:rPr>
            </w:pPr>
            <w:r>
              <w:rPr>
                <w:b/>
                <w:color w:val="000000"/>
                <w:sz w:val="24"/>
                <w:szCs w:val="24"/>
              </w:rPr>
              <w:t>“Strategic Supplier”</w:t>
            </w:r>
          </w:p>
        </w:tc>
        <w:tc>
          <w:tcPr>
            <w:tcW w:w="5075" w:type="dxa"/>
          </w:tcPr>
          <w:p w14:paraId="2A543E13" w14:textId="77777777" w:rsidR="000B07C4" w:rsidRDefault="00F84CBF">
            <w:pPr>
              <w:ind w:left="0"/>
              <w:jc w:val="left"/>
              <w:rPr>
                <w:sz w:val="24"/>
                <w:szCs w:val="24"/>
              </w:rPr>
            </w:pPr>
            <w:r>
              <w:rPr>
                <w:sz w:val="24"/>
                <w:szCs w:val="24"/>
              </w:rPr>
              <w:t>means those suppliers to government listed at</w:t>
            </w:r>
          </w:p>
          <w:p w14:paraId="7CDE293A" w14:textId="77777777" w:rsidR="000B07C4" w:rsidRDefault="00F84CBF">
            <w:pPr>
              <w:ind w:left="0"/>
              <w:jc w:val="left"/>
              <w:rPr>
                <w:color w:val="000000"/>
                <w:sz w:val="24"/>
                <w:szCs w:val="24"/>
              </w:rPr>
            </w:pPr>
            <w:r>
              <w:rPr>
                <w:sz w:val="24"/>
                <w:szCs w:val="24"/>
              </w:rPr>
              <w:t>https://www.gov.uk/government/publications/strategic-suppliers;</w:t>
            </w:r>
          </w:p>
        </w:tc>
      </w:tr>
      <w:tr w:rsidR="000B07C4" w14:paraId="53903832" w14:textId="77777777">
        <w:trPr>
          <w:trHeight w:val="567"/>
        </w:trPr>
        <w:tc>
          <w:tcPr>
            <w:tcW w:w="3097" w:type="dxa"/>
          </w:tcPr>
          <w:p w14:paraId="5105C0C3"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“Subsidiary Undertaking”</w:t>
            </w:r>
          </w:p>
        </w:tc>
        <w:tc>
          <w:tcPr>
            <w:tcW w:w="5075" w:type="dxa"/>
          </w:tcPr>
          <w:p w14:paraId="64C0CD48"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0B07C4" w14:paraId="1607BE30" w14:textId="77777777">
        <w:trPr>
          <w:trHeight w:val="567"/>
        </w:trPr>
        <w:tc>
          <w:tcPr>
            <w:tcW w:w="3097" w:type="dxa"/>
          </w:tcPr>
          <w:p w14:paraId="5EC8A55D"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“Supplier Group”</w:t>
            </w:r>
          </w:p>
        </w:tc>
        <w:tc>
          <w:tcPr>
            <w:tcW w:w="5075" w:type="dxa"/>
          </w:tcPr>
          <w:p w14:paraId="527CBA66"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0B07C4" w14:paraId="375C8537" w14:textId="77777777">
        <w:tc>
          <w:tcPr>
            <w:tcW w:w="3097" w:type="dxa"/>
          </w:tcPr>
          <w:p w14:paraId="4217F6D4"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"Supplier's Proposals"</w:t>
            </w:r>
          </w:p>
        </w:tc>
        <w:tc>
          <w:tcPr>
            <w:tcW w:w="5075" w:type="dxa"/>
          </w:tcPr>
          <w:p w14:paraId="2C64F01E"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6.3 of this Schedule;</w:t>
            </w:r>
          </w:p>
        </w:tc>
      </w:tr>
      <w:tr w:rsidR="000B07C4" w14:paraId="2A93D5EA" w14:textId="77777777">
        <w:tc>
          <w:tcPr>
            <w:tcW w:w="3097" w:type="dxa"/>
          </w:tcPr>
          <w:p w14:paraId="736F7268"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14:paraId="15850169"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rsidR="000B07C4" w14:paraId="56F04BD9" w14:textId="77777777">
        <w:tc>
          <w:tcPr>
            <w:tcW w:w="3097" w:type="dxa"/>
          </w:tcPr>
          <w:p w14:paraId="04823167" w14:textId="77777777" w:rsidR="000B07C4" w:rsidRDefault="00F84CB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14:paraId="11ADE329" w14:textId="77777777" w:rsidR="000B07C4" w:rsidRDefault="00F84CB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2 of Part B;</w:t>
            </w:r>
          </w:p>
        </w:tc>
      </w:tr>
    </w:tbl>
    <w:p w14:paraId="5B9AA743" w14:textId="77777777" w:rsidR="000B07C4" w:rsidRDefault="000B07C4">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570F909A" w14:textId="77777777" w:rsidR="000B07C4" w:rsidRDefault="00F84CBF">
      <w:pPr>
        <w:ind w:firstLine="1418"/>
        <w:rPr>
          <w:rFonts w:ascii="Arial Bold" w:eastAsia="Arial Bold" w:hAnsi="Arial Bold" w:cs="Arial Bold"/>
          <w:b/>
          <w:color w:val="000000"/>
          <w:sz w:val="24"/>
          <w:szCs w:val="24"/>
        </w:rPr>
      </w:pPr>
      <w:r>
        <w:br w:type="page"/>
      </w:r>
    </w:p>
    <w:p w14:paraId="0B2B46EE" w14:textId="77777777" w:rsidR="000B07C4" w:rsidRDefault="00F84CBF">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164CC9EB" w14:textId="77777777" w:rsidR="000B07C4" w:rsidRDefault="00F84CBF">
      <w:pPr>
        <w:keepNext/>
        <w:numPr>
          <w:ilvl w:val="0"/>
          <w:numId w:val="3"/>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BCDR Plan</w:t>
      </w:r>
    </w:p>
    <w:p w14:paraId="1AEAEB5B" w14:textId="77777777" w:rsidR="000B07C4" w:rsidRDefault="00F84CBF">
      <w:pPr>
        <w:numPr>
          <w:ilvl w:val="1"/>
          <w:numId w:val="3"/>
        </w:numPr>
        <w:pBdr>
          <w:top w:val="nil"/>
          <w:left w:val="nil"/>
          <w:bottom w:val="nil"/>
          <w:right w:val="nil"/>
          <w:between w:val="nil"/>
        </w:pBdr>
        <w:spacing w:before="120" w:after="120"/>
        <w:jc w:val="left"/>
        <w:rPr>
          <w:sz w:val="24"/>
          <w:szCs w:val="24"/>
        </w:rPr>
      </w:pPr>
      <w:bookmarkStart w:id="3" w:name="_3znysh7" w:colFirst="0" w:colLast="0"/>
      <w:bookmarkEnd w:id="3"/>
      <w:r>
        <w:rPr>
          <w:color w:val="000000"/>
          <w:sz w:val="24"/>
          <w:szCs w:val="24"/>
        </w:rPr>
        <w:t>The Buyer and the Supplier recognise that, where specified in Framework Schedule 4 (Framework Management), CCS shall have the right to enforce the Buyer's rights under this Schedule.</w:t>
      </w:r>
    </w:p>
    <w:p w14:paraId="4153B143" w14:textId="77777777" w:rsidR="000B07C4" w:rsidRDefault="00F84CB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42C441D0"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ensure continuity of the business processes and operations supported by the Services following any failure or disruption of any element of the Deliverables; and</w:t>
      </w:r>
    </w:p>
    <w:p w14:paraId="7E1DA6AB"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recovery of the Deliverables in the event of a Disaster </w:t>
      </w:r>
    </w:p>
    <w:p w14:paraId="528FF3B8" w14:textId="77777777" w:rsidR="000B07C4" w:rsidRDefault="00F84CBF">
      <w:pPr>
        <w:keepNext/>
        <w:numPr>
          <w:ilvl w:val="1"/>
          <w:numId w:val="3"/>
        </w:numPr>
        <w:pBdr>
          <w:top w:val="nil"/>
          <w:left w:val="nil"/>
          <w:bottom w:val="nil"/>
          <w:right w:val="nil"/>
          <w:between w:val="nil"/>
        </w:pBdr>
        <w:spacing w:before="120" w:after="120"/>
        <w:jc w:val="left"/>
        <w:rPr>
          <w:sz w:val="24"/>
          <w:szCs w:val="24"/>
        </w:rPr>
      </w:pPr>
      <w:r>
        <w:rPr>
          <w:color w:val="000000"/>
          <w:sz w:val="24"/>
          <w:szCs w:val="24"/>
        </w:rPr>
        <w:t>The BCDR Plan shall be divided into four sections:</w:t>
      </w:r>
    </w:p>
    <w:p w14:paraId="7785AE96"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4" w:name="_2et92p0" w:colFirst="0" w:colLast="0"/>
      <w:bookmarkEnd w:id="4"/>
      <w:r>
        <w:rPr>
          <w:color w:val="000000"/>
          <w:sz w:val="24"/>
          <w:szCs w:val="24"/>
        </w:rPr>
        <w:t xml:space="preserve">Section 1 which shall set out general principles applicable to the BCDR </w:t>
      </w:r>
      <w:proofErr w:type="gramStart"/>
      <w:r>
        <w:rPr>
          <w:color w:val="000000"/>
          <w:sz w:val="24"/>
          <w:szCs w:val="24"/>
        </w:rPr>
        <w:t>Plan;</w:t>
      </w:r>
      <w:proofErr w:type="gramEnd"/>
      <w:r>
        <w:rPr>
          <w:color w:val="000000"/>
          <w:sz w:val="24"/>
          <w:szCs w:val="24"/>
        </w:rPr>
        <w:t xml:space="preserve"> </w:t>
      </w:r>
    </w:p>
    <w:p w14:paraId="5E879B0A"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5" w:name="_tyjcwt" w:colFirst="0" w:colLast="0"/>
      <w:bookmarkEnd w:id="5"/>
      <w:r>
        <w:rPr>
          <w:color w:val="000000"/>
          <w:sz w:val="24"/>
          <w:szCs w:val="24"/>
        </w:rPr>
        <w:t xml:space="preserve">Section 2 which shall relate to business continuity (the </w:t>
      </w:r>
      <w:r>
        <w:rPr>
          <w:b/>
          <w:color w:val="000000"/>
          <w:sz w:val="24"/>
          <w:szCs w:val="24"/>
        </w:rPr>
        <w:t>"Business Continuity Plan"</w:t>
      </w:r>
      <w:proofErr w:type="gramStart"/>
      <w:r>
        <w:rPr>
          <w:color w:val="000000"/>
          <w:sz w:val="24"/>
          <w:szCs w:val="24"/>
        </w:rPr>
        <w:t>);</w:t>
      </w:r>
      <w:proofErr w:type="gramEnd"/>
    </w:p>
    <w:p w14:paraId="1353B3DD"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6" w:name="_3dy6vkm" w:colFirst="0" w:colLast="0"/>
      <w:bookmarkEnd w:id="6"/>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p>
    <w:p w14:paraId="0D27E7FA"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 xml:space="preserve">”). </w:t>
      </w:r>
    </w:p>
    <w:p w14:paraId="4EFB0842" w14:textId="77777777" w:rsidR="000B07C4" w:rsidRDefault="00F84CBF">
      <w:pPr>
        <w:numPr>
          <w:ilvl w:val="1"/>
          <w:numId w:val="3"/>
        </w:numPr>
        <w:pBdr>
          <w:top w:val="nil"/>
          <w:left w:val="nil"/>
          <w:bottom w:val="nil"/>
          <w:right w:val="nil"/>
          <w:between w:val="nil"/>
        </w:pBdr>
        <w:spacing w:before="120" w:after="120"/>
        <w:jc w:val="left"/>
        <w:rPr>
          <w:sz w:val="24"/>
          <w:szCs w:val="24"/>
        </w:rPr>
      </w:pPr>
      <w:bookmarkStart w:id="7" w:name="_1t3h5sf" w:colFirst="0" w:colLast="0"/>
      <w:bookmarkEnd w:id="7"/>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F78ACCA" w14:textId="77777777" w:rsidR="000B07C4" w:rsidRDefault="00F84CBF">
      <w:pPr>
        <w:keepNext/>
        <w:numPr>
          <w:ilvl w:val="0"/>
          <w:numId w:val="3"/>
        </w:numPr>
        <w:pBdr>
          <w:top w:val="nil"/>
          <w:left w:val="nil"/>
          <w:bottom w:val="nil"/>
          <w:right w:val="nil"/>
          <w:between w:val="nil"/>
        </w:pBdr>
        <w:tabs>
          <w:tab w:val="left" w:pos="0"/>
        </w:tabs>
        <w:spacing w:before="240"/>
        <w:jc w:val="left"/>
        <w:rPr>
          <w:b/>
          <w:sz w:val="24"/>
          <w:szCs w:val="24"/>
        </w:rPr>
      </w:pPr>
      <w:bookmarkStart w:id="8" w:name="_4d34og8" w:colFirst="0" w:colLast="0"/>
      <w:bookmarkEnd w:id="8"/>
      <w:r>
        <w:rPr>
          <w:rFonts w:ascii="Arial Bold" w:eastAsia="Arial Bold" w:hAnsi="Arial Bold" w:cs="Arial Bold"/>
          <w:b/>
          <w:color w:val="000000"/>
          <w:sz w:val="24"/>
          <w:szCs w:val="24"/>
        </w:rPr>
        <w:t>General Principles of the BCDR Plan (Section 1)</w:t>
      </w:r>
    </w:p>
    <w:p w14:paraId="23896893" w14:textId="77777777" w:rsidR="000B07C4" w:rsidRDefault="00F84CBF">
      <w:pPr>
        <w:keepNext/>
        <w:numPr>
          <w:ilvl w:val="1"/>
          <w:numId w:val="3"/>
        </w:numPr>
        <w:pBdr>
          <w:top w:val="nil"/>
          <w:left w:val="nil"/>
          <w:bottom w:val="nil"/>
          <w:right w:val="nil"/>
          <w:between w:val="nil"/>
        </w:pBdr>
        <w:spacing w:before="120" w:after="120"/>
        <w:jc w:val="left"/>
        <w:rPr>
          <w:sz w:val="24"/>
          <w:szCs w:val="24"/>
        </w:rPr>
      </w:pPr>
      <w:bookmarkStart w:id="9" w:name="_2s8eyo1" w:colFirst="0" w:colLast="0"/>
      <w:bookmarkEnd w:id="9"/>
      <w:r>
        <w:rPr>
          <w:color w:val="000000"/>
          <w:sz w:val="24"/>
          <w:szCs w:val="24"/>
        </w:rPr>
        <w:t>Section 1 of the BCDR Plan shall:</w:t>
      </w:r>
    </w:p>
    <w:p w14:paraId="697D82CD"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0" w:name="_17dp8vu" w:colFirst="0" w:colLast="0"/>
      <w:bookmarkEnd w:id="10"/>
      <w:r>
        <w:rPr>
          <w:color w:val="000000"/>
          <w:sz w:val="24"/>
          <w:szCs w:val="24"/>
        </w:rPr>
        <w:t xml:space="preserve">set out how the business continuity and disaster recovery elements of the BCDR Plan link to </w:t>
      </w:r>
      <w:proofErr w:type="gramStart"/>
      <w:r>
        <w:rPr>
          <w:color w:val="000000"/>
          <w:sz w:val="24"/>
          <w:szCs w:val="24"/>
        </w:rPr>
        <w:t>each other;</w:t>
      </w:r>
      <w:proofErr w:type="gramEnd"/>
    </w:p>
    <w:p w14:paraId="0F0FE38B"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color w:val="000000"/>
          <w:sz w:val="24"/>
          <w:szCs w:val="24"/>
        </w:rPr>
        <w:t>Supplier;</w:t>
      </w:r>
      <w:proofErr w:type="gramEnd"/>
    </w:p>
    <w:p w14:paraId="6F9902A4"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contain an obligation upon the Supplier to liaise with the Buyer and any Related Suppliers with respect to business continuity and disaster </w:t>
      </w:r>
      <w:proofErr w:type="gramStart"/>
      <w:r>
        <w:rPr>
          <w:color w:val="000000"/>
          <w:sz w:val="24"/>
          <w:szCs w:val="24"/>
        </w:rPr>
        <w:t>recovery;</w:t>
      </w:r>
      <w:proofErr w:type="gramEnd"/>
    </w:p>
    <w:p w14:paraId="5C0741CA"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lastRenderedPageBreak/>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color w:val="000000"/>
          <w:sz w:val="24"/>
          <w:szCs w:val="24"/>
        </w:rPr>
        <w:t>time;</w:t>
      </w:r>
      <w:proofErr w:type="gramEnd"/>
    </w:p>
    <w:p w14:paraId="1D73D819"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contain a communication strategy including details of an incident and problem management service and advice and help desk facility which can be accessed via multiple </w:t>
      </w:r>
      <w:proofErr w:type="gramStart"/>
      <w:r>
        <w:rPr>
          <w:color w:val="000000"/>
          <w:sz w:val="24"/>
          <w:szCs w:val="24"/>
        </w:rPr>
        <w:t>channels;</w:t>
      </w:r>
      <w:proofErr w:type="gramEnd"/>
    </w:p>
    <w:p w14:paraId="0035F846" w14:textId="77777777" w:rsidR="000B07C4" w:rsidRDefault="00F84CBF">
      <w:pPr>
        <w:keepNext/>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 risk analysis, including:</w:t>
      </w:r>
    </w:p>
    <w:p w14:paraId="318249F5" w14:textId="77777777" w:rsidR="000B07C4" w:rsidRDefault="00F84CBF">
      <w:pPr>
        <w:numPr>
          <w:ilvl w:val="3"/>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failure or disruption scenarios and assessments of likely frequency of </w:t>
      </w:r>
      <w:proofErr w:type="gramStart"/>
      <w:r>
        <w:rPr>
          <w:color w:val="000000"/>
          <w:sz w:val="24"/>
          <w:szCs w:val="24"/>
        </w:rPr>
        <w:t>occurrence;</w:t>
      </w:r>
      <w:proofErr w:type="gramEnd"/>
    </w:p>
    <w:p w14:paraId="6E5BFC24" w14:textId="77777777" w:rsidR="000B07C4" w:rsidRDefault="00F84CBF">
      <w:pPr>
        <w:numPr>
          <w:ilvl w:val="3"/>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identification of any single points of failure within the provision of Deliverables and processes for managing those </w:t>
      </w:r>
      <w:proofErr w:type="gramStart"/>
      <w:r>
        <w:rPr>
          <w:color w:val="000000"/>
          <w:sz w:val="24"/>
          <w:szCs w:val="24"/>
        </w:rPr>
        <w:t>risks;</w:t>
      </w:r>
      <w:proofErr w:type="gramEnd"/>
    </w:p>
    <w:p w14:paraId="59E4EBE2" w14:textId="77777777" w:rsidR="000B07C4" w:rsidRDefault="00F84CBF">
      <w:pPr>
        <w:numPr>
          <w:ilvl w:val="3"/>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identification of risks arising from the interaction of the provision of Deliverables with the goods and/or services provided by a Related Supplier; and</w:t>
      </w:r>
    </w:p>
    <w:p w14:paraId="3E3A3237" w14:textId="77777777" w:rsidR="000B07C4" w:rsidRDefault="00F84CBF">
      <w:pPr>
        <w:numPr>
          <w:ilvl w:val="3"/>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a business impact analysis of different anticipated failures or </w:t>
      </w:r>
      <w:proofErr w:type="gramStart"/>
      <w:r>
        <w:rPr>
          <w:color w:val="000000"/>
          <w:sz w:val="24"/>
          <w:szCs w:val="24"/>
        </w:rPr>
        <w:t>disruptions;</w:t>
      </w:r>
      <w:proofErr w:type="gramEnd"/>
    </w:p>
    <w:p w14:paraId="59A53E26"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provide for documentation of processes, including business processes, and </w:t>
      </w:r>
      <w:proofErr w:type="gramStart"/>
      <w:r>
        <w:rPr>
          <w:color w:val="000000"/>
          <w:sz w:val="24"/>
          <w:szCs w:val="24"/>
        </w:rPr>
        <w:t>procedures;</w:t>
      </w:r>
      <w:proofErr w:type="gramEnd"/>
    </w:p>
    <w:p w14:paraId="334E0D4D"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set out key contact details for the Supplier (and any Subcontractors) and for the </w:t>
      </w:r>
      <w:proofErr w:type="gramStart"/>
      <w:r>
        <w:rPr>
          <w:color w:val="000000"/>
          <w:sz w:val="24"/>
          <w:szCs w:val="24"/>
        </w:rPr>
        <w:t>Buyer;</w:t>
      </w:r>
      <w:proofErr w:type="gramEnd"/>
    </w:p>
    <w:p w14:paraId="5461001D"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identify the procedures for reverting to "normal service</w:t>
      </w:r>
      <w:proofErr w:type="gramStart"/>
      <w:r>
        <w:rPr>
          <w:color w:val="000000"/>
          <w:sz w:val="24"/>
          <w:szCs w:val="24"/>
        </w:rPr>
        <w:t>";</w:t>
      </w:r>
      <w:proofErr w:type="gramEnd"/>
    </w:p>
    <w:p w14:paraId="284E3AC5"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set out method(s) of recovering or updating data collected (or which ought to have been collected) during a failure or disruption to minimise data </w:t>
      </w:r>
      <w:proofErr w:type="gramStart"/>
      <w:r>
        <w:rPr>
          <w:color w:val="000000"/>
          <w:sz w:val="24"/>
          <w:szCs w:val="24"/>
        </w:rPr>
        <w:t>loss;</w:t>
      </w:r>
      <w:proofErr w:type="gramEnd"/>
    </w:p>
    <w:p w14:paraId="5C315010"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identify the responsibilities (if any) that the Buyer has agreed it will assume in the event of the invocation of the BCDR </w:t>
      </w:r>
      <w:proofErr w:type="gramStart"/>
      <w:r>
        <w:rPr>
          <w:color w:val="000000"/>
          <w:sz w:val="24"/>
          <w:szCs w:val="24"/>
        </w:rPr>
        <w:t>Plan;</w:t>
      </w:r>
      <w:proofErr w:type="gramEnd"/>
    </w:p>
    <w:p w14:paraId="6AD94E00"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provide for the provision of technical assistance to key contacts at the Buyer as required by the Buyer to inform decisions in support of the Buyer’s business continuity </w:t>
      </w:r>
      <w:proofErr w:type="gramStart"/>
      <w:r>
        <w:rPr>
          <w:color w:val="000000"/>
          <w:sz w:val="24"/>
          <w:szCs w:val="24"/>
        </w:rPr>
        <w:t>plans;</w:t>
      </w:r>
      <w:proofErr w:type="gramEnd"/>
    </w:p>
    <w:p w14:paraId="2D924E30"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1" w:name="_3rdcrjn" w:colFirst="0" w:colLast="0"/>
      <w:bookmarkEnd w:id="11"/>
      <w:r>
        <w:rPr>
          <w:color w:val="000000"/>
          <w:sz w:val="24"/>
          <w:szCs w:val="24"/>
        </w:rPr>
        <w:t xml:space="preserve">set out how the business continuity and disaster recovery elements of the BCDR Plan link to the Insolvency Continuity Plan, and how the Insolvency Continuity Plan links to the business continuity and disaster recovery elements of the BCDR </w:t>
      </w:r>
      <w:proofErr w:type="gramStart"/>
      <w:r>
        <w:rPr>
          <w:color w:val="000000"/>
          <w:sz w:val="24"/>
          <w:szCs w:val="24"/>
        </w:rPr>
        <w:t>Plan;</w:t>
      </w:r>
      <w:proofErr w:type="gramEnd"/>
    </w:p>
    <w:p w14:paraId="60CE4866"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14:paraId="64BC5D66"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2" w:name="_26in1rg" w:colFirst="0" w:colLast="0"/>
      <w:bookmarkEnd w:id="12"/>
      <w:r>
        <w:rPr>
          <w:color w:val="000000"/>
          <w:sz w:val="24"/>
          <w:szCs w:val="24"/>
        </w:rPr>
        <w:t>detail how the BCDR Plan links and interoperates with any overarching and/or connected insolvency continuity plan of the Buyer and any of its other Related Suppliers in each case as notified to the Supplier by the Buyer from time to time.</w:t>
      </w:r>
    </w:p>
    <w:p w14:paraId="295804EC" w14:textId="77777777" w:rsidR="000B07C4" w:rsidRDefault="00F84CBF">
      <w:pPr>
        <w:keepNext/>
        <w:numPr>
          <w:ilvl w:val="1"/>
          <w:numId w:val="3"/>
        </w:numPr>
        <w:pBdr>
          <w:top w:val="nil"/>
          <w:left w:val="nil"/>
          <w:bottom w:val="nil"/>
          <w:right w:val="nil"/>
          <w:between w:val="nil"/>
        </w:pBdr>
        <w:spacing w:before="120" w:after="120"/>
        <w:jc w:val="left"/>
        <w:rPr>
          <w:sz w:val="24"/>
          <w:szCs w:val="24"/>
        </w:rPr>
      </w:pPr>
      <w:r>
        <w:rPr>
          <w:color w:val="000000"/>
          <w:sz w:val="24"/>
          <w:szCs w:val="24"/>
        </w:rPr>
        <w:lastRenderedPageBreak/>
        <w:t xml:space="preserve">The BCDR Plan shall be designed </w:t>
      </w:r>
      <w:proofErr w:type="gramStart"/>
      <w:r>
        <w:rPr>
          <w:color w:val="000000"/>
          <w:sz w:val="24"/>
          <w:szCs w:val="24"/>
        </w:rPr>
        <w:t>so as to</w:t>
      </w:r>
      <w:proofErr w:type="gramEnd"/>
      <w:r>
        <w:rPr>
          <w:color w:val="000000"/>
          <w:sz w:val="24"/>
          <w:szCs w:val="24"/>
        </w:rPr>
        <w:t xml:space="preserve"> ensure that:</w:t>
      </w:r>
    </w:p>
    <w:p w14:paraId="30C196AB"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Deliverables are provided in accordance with this Contract at all times during and after the invocation of the BCDR </w:t>
      </w:r>
      <w:proofErr w:type="gramStart"/>
      <w:r>
        <w:rPr>
          <w:color w:val="000000"/>
          <w:sz w:val="24"/>
          <w:szCs w:val="24"/>
        </w:rPr>
        <w:t>Plan;</w:t>
      </w:r>
      <w:proofErr w:type="gramEnd"/>
    </w:p>
    <w:p w14:paraId="0DBDFC29"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adverse impact of any Disaster is minimised as far as reasonably </w:t>
      </w:r>
      <w:proofErr w:type="gramStart"/>
      <w:r>
        <w:rPr>
          <w:color w:val="000000"/>
          <w:sz w:val="24"/>
          <w:szCs w:val="24"/>
        </w:rPr>
        <w:t>possible;</w:t>
      </w:r>
      <w:proofErr w:type="gramEnd"/>
      <w:r>
        <w:rPr>
          <w:color w:val="000000"/>
          <w:sz w:val="24"/>
          <w:szCs w:val="24"/>
        </w:rPr>
        <w:t xml:space="preserve"> </w:t>
      </w:r>
    </w:p>
    <w:p w14:paraId="4C7F62CC"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it complies with the relevant provisions of ISO/IEC 27002; ISO22301/ISO22313 and all other industry standards from time to time in force; and</w:t>
      </w:r>
    </w:p>
    <w:p w14:paraId="4DFE04E6"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it details a process for the management of disaster recovery testing.</w:t>
      </w:r>
    </w:p>
    <w:p w14:paraId="250ECEC3" w14:textId="77777777" w:rsidR="000B07C4" w:rsidRDefault="00F84CBF">
      <w:pPr>
        <w:numPr>
          <w:ilvl w:val="1"/>
          <w:numId w:val="3"/>
        </w:numPr>
        <w:pBdr>
          <w:top w:val="nil"/>
          <w:left w:val="nil"/>
          <w:bottom w:val="nil"/>
          <w:right w:val="nil"/>
          <w:between w:val="nil"/>
        </w:pBdr>
        <w:spacing w:before="120" w:after="120"/>
        <w:jc w:val="left"/>
        <w:rPr>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441ED533" w14:textId="77777777" w:rsidR="000B07C4" w:rsidRDefault="00F84CB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The Supplier shall not be entitled to any relief from its obligations under the Performance Indicators (PI’s) or Service levels, or to any increase in the Charges to the extent that a Disaster occurs </w:t>
      </w:r>
      <w:proofErr w:type="gramStart"/>
      <w:r>
        <w:rPr>
          <w:color w:val="000000"/>
          <w:sz w:val="24"/>
          <w:szCs w:val="24"/>
        </w:rPr>
        <w:t>as a consequence of</w:t>
      </w:r>
      <w:proofErr w:type="gramEnd"/>
      <w:r>
        <w:rPr>
          <w:color w:val="000000"/>
          <w:sz w:val="24"/>
          <w:szCs w:val="24"/>
        </w:rPr>
        <w:t xml:space="preserve"> any breach by the Supplier of this Contract.</w:t>
      </w:r>
    </w:p>
    <w:p w14:paraId="6DE5CE81" w14:textId="77777777" w:rsidR="000B07C4" w:rsidRDefault="00F84CBF">
      <w:pPr>
        <w:keepNext/>
        <w:numPr>
          <w:ilvl w:val="0"/>
          <w:numId w:val="3"/>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Business Continuity (Section 2)</w:t>
      </w:r>
    </w:p>
    <w:p w14:paraId="243027EC" w14:textId="77777777" w:rsidR="000B07C4" w:rsidRDefault="00F84CBF">
      <w:pPr>
        <w:numPr>
          <w:ilvl w:val="1"/>
          <w:numId w:val="3"/>
        </w:numPr>
        <w:pBdr>
          <w:top w:val="nil"/>
          <w:left w:val="nil"/>
          <w:bottom w:val="nil"/>
          <w:right w:val="nil"/>
          <w:between w:val="nil"/>
        </w:pBdr>
        <w:spacing w:before="120" w:after="120"/>
        <w:jc w:val="left"/>
        <w:rPr>
          <w:sz w:val="24"/>
          <w:szCs w:val="24"/>
        </w:rPr>
      </w:pPr>
      <w:bookmarkStart w:id="13" w:name="_lnxbz9" w:colFirst="0" w:colLast="0"/>
      <w:bookmarkEnd w:id="13"/>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6678425A"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alternative processes, options and responsibilities that may be adopted in the event of a failure in or disruption to the provision of Deliverables; and</w:t>
      </w:r>
    </w:p>
    <w:p w14:paraId="2E966AB0"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steps to be taken by the Supplier upon resumption of the provision of Deliverables </w:t>
      </w:r>
      <w:proofErr w:type="gramStart"/>
      <w:r>
        <w:rPr>
          <w:color w:val="000000"/>
          <w:sz w:val="24"/>
          <w:szCs w:val="24"/>
        </w:rPr>
        <w:t>in order to</w:t>
      </w:r>
      <w:proofErr w:type="gramEnd"/>
      <w:r>
        <w:rPr>
          <w:color w:val="000000"/>
          <w:sz w:val="24"/>
          <w:szCs w:val="24"/>
        </w:rPr>
        <w:t xml:space="preserve"> address the effect of the failure or disruption.</w:t>
      </w:r>
    </w:p>
    <w:p w14:paraId="5B879C4E" w14:textId="77777777" w:rsidR="000B07C4" w:rsidRDefault="00F84CBF">
      <w:pPr>
        <w:keepNext/>
        <w:numPr>
          <w:ilvl w:val="1"/>
          <w:numId w:val="3"/>
        </w:numPr>
        <w:pBdr>
          <w:top w:val="nil"/>
          <w:left w:val="nil"/>
          <w:bottom w:val="nil"/>
          <w:right w:val="nil"/>
          <w:between w:val="nil"/>
        </w:pBdr>
        <w:spacing w:before="120" w:after="120"/>
        <w:jc w:val="left"/>
        <w:rPr>
          <w:sz w:val="24"/>
          <w:szCs w:val="24"/>
        </w:rPr>
      </w:pPr>
      <w:r>
        <w:rPr>
          <w:color w:val="000000"/>
          <w:sz w:val="24"/>
          <w:szCs w:val="24"/>
        </w:rPr>
        <w:t>The Business Continuity Plan shall:</w:t>
      </w:r>
    </w:p>
    <w:p w14:paraId="7C844947"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address the various possible levels of failures of or disruptions to the provision of </w:t>
      </w:r>
      <w:proofErr w:type="gramStart"/>
      <w:r>
        <w:rPr>
          <w:color w:val="000000"/>
          <w:sz w:val="24"/>
          <w:szCs w:val="24"/>
        </w:rPr>
        <w:t>Deliverables;</w:t>
      </w:r>
      <w:proofErr w:type="gramEnd"/>
    </w:p>
    <w:p w14:paraId="79FC2D0A"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4" w:name="_35nkun2" w:colFirst="0" w:colLast="0"/>
      <w:bookmarkEnd w:id="14"/>
      <w:r>
        <w:rPr>
          <w:color w:val="000000"/>
          <w:sz w:val="24"/>
          <w:szCs w:val="24"/>
        </w:rPr>
        <w:t xml:space="preserve">set out the goods and/or services to be provided and the steps to be taken to remedy the different levels of failures of and disruption to the </w:t>
      </w:r>
      <w:proofErr w:type="gramStart"/>
      <w:r>
        <w:rPr>
          <w:color w:val="000000"/>
          <w:sz w:val="24"/>
          <w:szCs w:val="24"/>
        </w:rPr>
        <w:t>Deliverables;</w:t>
      </w:r>
      <w:proofErr w:type="gramEnd"/>
    </w:p>
    <w:p w14:paraId="5A58C966"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1B333622"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the circumstances in which the Business Continuity Plan is invoked.</w:t>
      </w:r>
    </w:p>
    <w:p w14:paraId="16B0754B" w14:textId="77777777" w:rsidR="000B07C4" w:rsidRDefault="00F84CBF">
      <w:pPr>
        <w:keepNext/>
        <w:numPr>
          <w:ilvl w:val="0"/>
          <w:numId w:val="3"/>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lastRenderedPageBreak/>
        <w:t>Disaster Recovery (Section 3)</w:t>
      </w:r>
    </w:p>
    <w:p w14:paraId="0A9087E7" w14:textId="77777777" w:rsidR="000B07C4" w:rsidRDefault="00F84CBF">
      <w:pPr>
        <w:numPr>
          <w:ilvl w:val="1"/>
          <w:numId w:val="3"/>
        </w:numPr>
        <w:pBdr>
          <w:top w:val="nil"/>
          <w:left w:val="nil"/>
          <w:bottom w:val="nil"/>
          <w:right w:val="nil"/>
          <w:between w:val="nil"/>
        </w:pBdr>
        <w:spacing w:before="120" w:after="120"/>
        <w:jc w:val="left"/>
        <w:rPr>
          <w:sz w:val="24"/>
          <w:szCs w:val="24"/>
        </w:rPr>
      </w:pPr>
      <w:bookmarkStart w:id="15" w:name="_1ksv4uv" w:colFirst="0" w:colLast="0"/>
      <w:bookmarkEnd w:id="15"/>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5BA7199" w14:textId="77777777" w:rsidR="000B07C4" w:rsidRDefault="00F84CBF">
      <w:pPr>
        <w:keepNext/>
        <w:numPr>
          <w:ilvl w:val="1"/>
          <w:numId w:val="3"/>
        </w:numPr>
        <w:pBdr>
          <w:top w:val="nil"/>
          <w:left w:val="nil"/>
          <w:bottom w:val="nil"/>
          <w:right w:val="nil"/>
          <w:between w:val="nil"/>
        </w:pBdr>
        <w:spacing w:before="120" w:after="120"/>
        <w:jc w:val="left"/>
        <w:rPr>
          <w:sz w:val="24"/>
          <w:szCs w:val="24"/>
        </w:rPr>
      </w:pPr>
      <w:r>
        <w:rPr>
          <w:color w:val="000000"/>
          <w:sz w:val="24"/>
          <w:szCs w:val="24"/>
        </w:rPr>
        <w:t>The Supplier's BCDR Plan shall include an approach to business continuity and disaster recovery that addresses the following:</w:t>
      </w:r>
    </w:p>
    <w:p w14:paraId="3CA4DBC4"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loss of access to the Buyer </w:t>
      </w:r>
      <w:proofErr w:type="gramStart"/>
      <w:r>
        <w:rPr>
          <w:color w:val="000000"/>
          <w:sz w:val="24"/>
          <w:szCs w:val="24"/>
        </w:rPr>
        <w:t>Premises;</w:t>
      </w:r>
      <w:proofErr w:type="gramEnd"/>
    </w:p>
    <w:p w14:paraId="1B8FB83C"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loss of utilities to the Buyer </w:t>
      </w:r>
      <w:proofErr w:type="gramStart"/>
      <w:r>
        <w:rPr>
          <w:color w:val="000000"/>
          <w:sz w:val="24"/>
          <w:szCs w:val="24"/>
        </w:rPr>
        <w:t>Premises;</w:t>
      </w:r>
      <w:proofErr w:type="gramEnd"/>
    </w:p>
    <w:p w14:paraId="739B9AF4"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loss of the Supplier's helpdesk or CAFM </w:t>
      </w:r>
      <w:proofErr w:type="gramStart"/>
      <w:r>
        <w:rPr>
          <w:color w:val="000000"/>
          <w:sz w:val="24"/>
          <w:szCs w:val="24"/>
        </w:rPr>
        <w:t>system;</w:t>
      </w:r>
      <w:proofErr w:type="gramEnd"/>
    </w:p>
    <w:p w14:paraId="33947595"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loss of a </w:t>
      </w:r>
      <w:proofErr w:type="gramStart"/>
      <w:r>
        <w:rPr>
          <w:color w:val="000000"/>
          <w:sz w:val="24"/>
          <w:szCs w:val="24"/>
        </w:rPr>
        <w:t>Subcontractor;</w:t>
      </w:r>
      <w:proofErr w:type="gramEnd"/>
    </w:p>
    <w:p w14:paraId="616FA12E"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emergency notification and escalation </w:t>
      </w:r>
      <w:proofErr w:type="gramStart"/>
      <w:r>
        <w:rPr>
          <w:color w:val="000000"/>
          <w:sz w:val="24"/>
          <w:szCs w:val="24"/>
        </w:rPr>
        <w:t>process;</w:t>
      </w:r>
      <w:proofErr w:type="gramEnd"/>
    </w:p>
    <w:p w14:paraId="12874991"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contact </w:t>
      </w:r>
      <w:proofErr w:type="gramStart"/>
      <w:r>
        <w:rPr>
          <w:color w:val="000000"/>
          <w:sz w:val="24"/>
          <w:szCs w:val="24"/>
        </w:rPr>
        <w:t>lists;</w:t>
      </w:r>
      <w:proofErr w:type="gramEnd"/>
    </w:p>
    <w:p w14:paraId="6B1DE9B5"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staff training and </w:t>
      </w:r>
      <w:proofErr w:type="gramStart"/>
      <w:r>
        <w:rPr>
          <w:color w:val="000000"/>
          <w:sz w:val="24"/>
          <w:szCs w:val="24"/>
        </w:rPr>
        <w:t>awareness;</w:t>
      </w:r>
      <w:proofErr w:type="gramEnd"/>
    </w:p>
    <w:p w14:paraId="759BC122"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BCDR Plan </w:t>
      </w:r>
      <w:proofErr w:type="gramStart"/>
      <w:r>
        <w:rPr>
          <w:color w:val="000000"/>
          <w:sz w:val="24"/>
          <w:szCs w:val="24"/>
        </w:rPr>
        <w:t>testing;</w:t>
      </w:r>
      <w:proofErr w:type="gramEnd"/>
      <w:r>
        <w:rPr>
          <w:color w:val="000000"/>
          <w:sz w:val="24"/>
          <w:szCs w:val="24"/>
        </w:rPr>
        <w:t xml:space="preserve"> </w:t>
      </w:r>
    </w:p>
    <w:p w14:paraId="734D2345"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post implementation review </w:t>
      </w:r>
      <w:proofErr w:type="gramStart"/>
      <w:r>
        <w:rPr>
          <w:color w:val="000000"/>
          <w:sz w:val="24"/>
          <w:szCs w:val="24"/>
        </w:rPr>
        <w:t>process;</w:t>
      </w:r>
      <w:proofErr w:type="gramEnd"/>
      <w:r>
        <w:rPr>
          <w:color w:val="000000"/>
          <w:sz w:val="24"/>
          <w:szCs w:val="24"/>
        </w:rPr>
        <w:t xml:space="preserve"> </w:t>
      </w:r>
    </w:p>
    <w:p w14:paraId="714EF9E3"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w:t>
      </w:r>
      <w:proofErr w:type="gramStart"/>
      <w:r>
        <w:rPr>
          <w:color w:val="000000"/>
          <w:sz w:val="24"/>
          <w:szCs w:val="24"/>
        </w:rPr>
        <w:t>Plan;</w:t>
      </w:r>
      <w:proofErr w:type="gramEnd"/>
    </w:p>
    <w:p w14:paraId="7DD561FD"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color w:val="000000"/>
          <w:sz w:val="24"/>
          <w:szCs w:val="24"/>
        </w:rPr>
        <w:t>invoked;</w:t>
      </w:r>
      <w:proofErr w:type="gramEnd"/>
    </w:p>
    <w:p w14:paraId="7E1D0FBB"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access controls to any disaster recovery sites used by the Supplier in relation to its obligations pursuant to this Schedule; and</w:t>
      </w:r>
    </w:p>
    <w:p w14:paraId="3BF17DA2"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testing and management arrangements.</w:t>
      </w:r>
    </w:p>
    <w:p w14:paraId="3A6D7DB4" w14:textId="77777777" w:rsidR="000B07C4" w:rsidRDefault="00F84CBF">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sz w:val="24"/>
          <w:szCs w:val="24"/>
        </w:rPr>
      </w:pPr>
      <w:bookmarkStart w:id="16" w:name="_44sinio" w:colFirst="0" w:colLast="0"/>
      <w:bookmarkEnd w:id="16"/>
      <w:r>
        <w:rPr>
          <w:rFonts w:ascii="Arial Bold" w:eastAsia="Arial Bold" w:hAnsi="Arial Bold" w:cs="Arial Bold"/>
          <w:b/>
          <w:color w:val="000000"/>
          <w:sz w:val="24"/>
          <w:szCs w:val="24"/>
        </w:rPr>
        <w:t>Insolvency Continuity Plan (Section 4)</w:t>
      </w:r>
    </w:p>
    <w:p w14:paraId="157C31AB" w14:textId="77777777" w:rsidR="000B07C4" w:rsidRDefault="00F84CBF">
      <w:pPr>
        <w:numPr>
          <w:ilvl w:val="1"/>
          <w:numId w:val="3"/>
        </w:numPr>
        <w:pBdr>
          <w:top w:val="nil"/>
          <w:left w:val="nil"/>
          <w:bottom w:val="nil"/>
          <w:right w:val="nil"/>
          <w:between w:val="nil"/>
        </w:pBdr>
        <w:spacing w:before="120" w:after="120"/>
        <w:rPr>
          <w:sz w:val="24"/>
          <w:szCs w:val="24"/>
        </w:rPr>
      </w:pPr>
      <w:r>
        <w:rPr>
          <w:color w:val="000000"/>
          <w:sz w:val="24"/>
          <w:szCs w:val="24"/>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t>
      </w:r>
      <w:proofErr w:type="gramStart"/>
      <w:r>
        <w:rPr>
          <w:color w:val="000000"/>
          <w:sz w:val="24"/>
          <w:szCs w:val="24"/>
        </w:rPr>
        <w:t>with,</w:t>
      </w:r>
      <w:proofErr w:type="gramEnd"/>
      <w:r>
        <w:rPr>
          <w:color w:val="000000"/>
          <w:sz w:val="24"/>
          <w:szCs w:val="24"/>
        </w:rPr>
        <w:t xml:space="preserve"> as far as reasonably possible, minimal adverse impact.</w:t>
      </w:r>
    </w:p>
    <w:p w14:paraId="588A2757" w14:textId="77777777" w:rsidR="000B07C4" w:rsidRDefault="00F84CBF">
      <w:pPr>
        <w:numPr>
          <w:ilvl w:val="1"/>
          <w:numId w:val="3"/>
        </w:numPr>
        <w:pBdr>
          <w:top w:val="nil"/>
          <w:left w:val="nil"/>
          <w:bottom w:val="nil"/>
          <w:right w:val="nil"/>
          <w:between w:val="nil"/>
        </w:pBdr>
        <w:spacing w:before="120" w:after="120"/>
        <w:rPr>
          <w:sz w:val="24"/>
          <w:szCs w:val="24"/>
        </w:rPr>
      </w:pPr>
      <w:r>
        <w:rPr>
          <w:color w:val="000000"/>
          <w:sz w:val="24"/>
          <w:szCs w:val="24"/>
        </w:rPr>
        <w:t>The Insolvency Continuity Plan shall include the following:</w:t>
      </w:r>
    </w:p>
    <w:p w14:paraId="4714139D" w14:textId="77777777" w:rsidR="000B07C4" w:rsidRDefault="00F84CB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color w:val="000000"/>
          <w:sz w:val="24"/>
          <w:szCs w:val="24"/>
        </w:rPr>
        <w:lastRenderedPageBreak/>
        <w:t xml:space="preserve">operational and contract Supplier Staff, Key Subcontractor personnel and Supplier Group member </w:t>
      </w:r>
      <w:proofErr w:type="gramStart"/>
      <w:r>
        <w:rPr>
          <w:color w:val="000000"/>
          <w:sz w:val="24"/>
          <w:szCs w:val="24"/>
        </w:rPr>
        <w:t>personnel;</w:t>
      </w:r>
      <w:proofErr w:type="gramEnd"/>
    </w:p>
    <w:p w14:paraId="68415429" w14:textId="77777777" w:rsidR="000B07C4" w:rsidRDefault="00F84CB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 xml:space="preserve">identification, explanation, assessment and an impact analysis of risks in respect of dependencies between the Supplier, Key Subcontractors and Supplier Group members where failure of those dependencies could reasonably have an adverse impact on the </w:t>
      </w:r>
      <w:proofErr w:type="gramStart"/>
      <w:r>
        <w:rPr>
          <w:color w:val="000000"/>
          <w:sz w:val="24"/>
          <w:szCs w:val="24"/>
        </w:rPr>
        <w:t>Deliverables;</w:t>
      </w:r>
      <w:proofErr w:type="gramEnd"/>
    </w:p>
    <w:p w14:paraId="2D4698D7" w14:textId="77777777" w:rsidR="000B07C4" w:rsidRDefault="00F84CB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 xml:space="preserve">plans to manage and mitigate identified </w:t>
      </w:r>
      <w:proofErr w:type="gramStart"/>
      <w:r>
        <w:rPr>
          <w:color w:val="000000"/>
          <w:sz w:val="24"/>
          <w:szCs w:val="24"/>
        </w:rPr>
        <w:t>risks;</w:t>
      </w:r>
      <w:proofErr w:type="gramEnd"/>
    </w:p>
    <w:p w14:paraId="086231D2" w14:textId="77777777" w:rsidR="000B07C4" w:rsidRDefault="00F84CB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 xml:space="preserve">details of the roles and responsibilities of the Supplier, Key Subcontractors and/or Supplier Group members to minimise and mitigate the effects of an Insolvency Event of such persons on the </w:t>
      </w:r>
      <w:proofErr w:type="gramStart"/>
      <w:r>
        <w:rPr>
          <w:color w:val="000000"/>
          <w:sz w:val="24"/>
          <w:szCs w:val="24"/>
        </w:rPr>
        <w:t>Deliverables;</w:t>
      </w:r>
      <w:proofErr w:type="gramEnd"/>
    </w:p>
    <w:p w14:paraId="3A1E043B" w14:textId="77777777" w:rsidR="000B07C4" w:rsidRDefault="00F84CB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details of the recovery team to be put in place by the Supplier (which may include representatives of the Supplier, Key Subcontractors and Supplier Group members); and</w:t>
      </w:r>
    </w:p>
    <w:p w14:paraId="2C951517" w14:textId="77777777" w:rsidR="000B07C4" w:rsidRDefault="00F84CB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sufficient detail to enable an appointed insolvency practitioner to invoke the plan in the event of an Insolvency Event of the Supplier.</w:t>
      </w:r>
    </w:p>
    <w:p w14:paraId="6E56DC09" w14:textId="77777777" w:rsidR="000B07C4" w:rsidRDefault="00F84CBF">
      <w:pPr>
        <w:keepNext/>
        <w:numPr>
          <w:ilvl w:val="0"/>
          <w:numId w:val="3"/>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Review and changing the BCDR Plan</w:t>
      </w:r>
    </w:p>
    <w:p w14:paraId="15442674" w14:textId="77777777" w:rsidR="000B07C4" w:rsidRDefault="00F84CBF">
      <w:pPr>
        <w:keepNext/>
        <w:numPr>
          <w:ilvl w:val="1"/>
          <w:numId w:val="3"/>
        </w:numPr>
        <w:pBdr>
          <w:top w:val="nil"/>
          <w:left w:val="nil"/>
          <w:bottom w:val="nil"/>
          <w:right w:val="nil"/>
          <w:between w:val="nil"/>
        </w:pBdr>
        <w:spacing w:before="120" w:after="120"/>
        <w:jc w:val="left"/>
        <w:rPr>
          <w:sz w:val="24"/>
          <w:szCs w:val="24"/>
        </w:rPr>
      </w:pPr>
      <w:bookmarkStart w:id="17" w:name="_2jxsxqh" w:colFirst="0" w:colLast="0"/>
      <w:bookmarkEnd w:id="17"/>
      <w:r>
        <w:rPr>
          <w:color w:val="000000"/>
          <w:sz w:val="24"/>
          <w:szCs w:val="24"/>
        </w:rPr>
        <w:t>The Supplier shall review the BCDR Plan:</w:t>
      </w:r>
    </w:p>
    <w:p w14:paraId="7283FA3E"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8" w:name="_z337ya" w:colFirst="0" w:colLast="0"/>
      <w:bookmarkEnd w:id="18"/>
      <w:r>
        <w:rPr>
          <w:color w:val="000000"/>
          <w:sz w:val="24"/>
          <w:szCs w:val="24"/>
        </w:rPr>
        <w:t>on a regular basis and as a minimum once every six (6) </w:t>
      </w:r>
      <w:proofErr w:type="gramStart"/>
      <w:r>
        <w:rPr>
          <w:color w:val="000000"/>
          <w:sz w:val="24"/>
          <w:szCs w:val="24"/>
        </w:rPr>
        <w:t>Months;</w:t>
      </w:r>
      <w:proofErr w:type="gramEnd"/>
    </w:p>
    <w:p w14:paraId="4C240F03"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9" w:name="_3j2qqm3" w:colFirst="0" w:colLast="0"/>
      <w:bookmarkEnd w:id="19"/>
      <w:r>
        <w:rPr>
          <w:color w:val="000000"/>
          <w:sz w:val="24"/>
          <w:szCs w:val="24"/>
        </w:rPr>
        <w:t>within three (3) calendar Months of the BCDR Plan (or any part) having been invoked pursuant to Paragraph 8; and</w:t>
      </w:r>
    </w:p>
    <w:p w14:paraId="1E60D4E9"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20" w:name="_1y810tw" w:colFirst="0" w:colLast="0"/>
      <w:bookmarkEnd w:id="20"/>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3D4BAED" w14:textId="77777777" w:rsidR="000B07C4" w:rsidRDefault="00F84CBF">
      <w:pPr>
        <w:numPr>
          <w:ilvl w:val="1"/>
          <w:numId w:val="3"/>
        </w:numPr>
        <w:pBdr>
          <w:top w:val="nil"/>
          <w:left w:val="nil"/>
          <w:bottom w:val="nil"/>
          <w:right w:val="nil"/>
          <w:between w:val="nil"/>
        </w:pBdr>
        <w:spacing w:before="120" w:after="120"/>
        <w:jc w:val="left"/>
        <w:rPr>
          <w:sz w:val="24"/>
          <w:szCs w:val="24"/>
        </w:rPr>
      </w:pPr>
      <w:bookmarkStart w:id="21" w:name="_4i7ojhp" w:colFirst="0" w:colLast="0"/>
      <w:bookmarkEnd w:id="21"/>
      <w:r>
        <w:rPr>
          <w:color w:val="000000"/>
          <w:sz w:val="24"/>
          <w:szCs w:val="24"/>
        </w:rPr>
        <w:t>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w:t>
      </w:r>
      <w:r>
        <w:rPr>
          <w:color w:val="000000"/>
          <w:sz w:val="24"/>
          <w:szCs w:val="24"/>
        </w:rPr>
        <w:t xml:space="preserve">ase the likelihood of the need to invoke the BCDR Plan. The review shall be completed by the Supplier within such period as the Buyer shall reasonably require.  </w:t>
      </w:r>
    </w:p>
    <w:p w14:paraId="1313C621" w14:textId="77777777" w:rsidR="000B07C4" w:rsidRDefault="00F84CBF">
      <w:pPr>
        <w:numPr>
          <w:ilvl w:val="1"/>
          <w:numId w:val="3"/>
        </w:numPr>
        <w:pBdr>
          <w:top w:val="nil"/>
          <w:left w:val="nil"/>
          <w:bottom w:val="nil"/>
          <w:right w:val="nil"/>
          <w:between w:val="nil"/>
        </w:pBdr>
        <w:spacing w:before="120" w:after="120"/>
        <w:jc w:val="left"/>
        <w:rPr>
          <w:sz w:val="24"/>
          <w:szCs w:val="24"/>
        </w:rPr>
      </w:pPr>
      <w:bookmarkStart w:id="22" w:name="_2xcytpi" w:colFirst="0" w:colLast="0"/>
      <w:bookmarkEnd w:id="22"/>
      <w:r>
        <w:rPr>
          <w:color w:val="000000"/>
          <w:sz w:val="24"/>
          <w:szCs w:val="24"/>
        </w:rPr>
        <w:t xml:space="preserve">The Supplier shall, within twenty (20) Working Days of the conclusion of each such review of the BCDR Plan,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78A4A405" w14:textId="77777777" w:rsidR="000B07C4" w:rsidRDefault="00F84CBF">
      <w:pPr>
        <w:numPr>
          <w:ilvl w:val="1"/>
          <w:numId w:val="3"/>
        </w:numPr>
        <w:pBdr>
          <w:top w:val="nil"/>
          <w:left w:val="nil"/>
          <w:bottom w:val="nil"/>
          <w:right w:val="nil"/>
          <w:between w:val="nil"/>
        </w:pBdr>
        <w:spacing w:before="120" w:after="120"/>
        <w:jc w:val="left"/>
        <w:rPr>
          <w:sz w:val="24"/>
          <w:szCs w:val="24"/>
        </w:rPr>
      </w:pPr>
      <w:bookmarkStart w:id="23" w:name="_1ci93xb" w:colFirst="0" w:colLast="0"/>
      <w:bookmarkEnd w:id="23"/>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5F355152" w14:textId="77777777" w:rsidR="000B07C4" w:rsidRDefault="00F84CB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1B7D9A39" w14:textId="77777777" w:rsidR="000B07C4" w:rsidRDefault="00F84CBF">
      <w:pPr>
        <w:keepNext/>
        <w:numPr>
          <w:ilvl w:val="0"/>
          <w:numId w:val="3"/>
        </w:numPr>
        <w:pBdr>
          <w:top w:val="nil"/>
          <w:left w:val="nil"/>
          <w:bottom w:val="nil"/>
          <w:right w:val="nil"/>
          <w:between w:val="nil"/>
        </w:pBdr>
        <w:tabs>
          <w:tab w:val="left" w:pos="0"/>
        </w:tabs>
        <w:spacing w:before="240"/>
        <w:ind w:left="504"/>
        <w:jc w:val="left"/>
        <w:rPr>
          <w:rFonts w:ascii="Arial Bold" w:eastAsia="Arial Bold" w:hAnsi="Arial Bold" w:cs="Arial Bold"/>
          <w:b/>
          <w:sz w:val="24"/>
          <w:szCs w:val="24"/>
        </w:rPr>
      </w:pPr>
      <w:bookmarkStart w:id="24" w:name="_3whwml4" w:colFirst="0" w:colLast="0"/>
      <w:bookmarkEnd w:id="24"/>
      <w:r>
        <w:rPr>
          <w:rFonts w:ascii="Arial Bold" w:eastAsia="Arial Bold" w:hAnsi="Arial Bold" w:cs="Arial Bold"/>
          <w:b/>
          <w:color w:val="000000"/>
          <w:sz w:val="24"/>
          <w:szCs w:val="24"/>
        </w:rPr>
        <w:t>Testing the BCDR Plan</w:t>
      </w:r>
    </w:p>
    <w:p w14:paraId="3C92319B" w14:textId="77777777" w:rsidR="000B07C4" w:rsidRDefault="00F84CBF">
      <w:pPr>
        <w:keepNext/>
        <w:numPr>
          <w:ilvl w:val="1"/>
          <w:numId w:val="3"/>
        </w:numPr>
        <w:pBdr>
          <w:top w:val="nil"/>
          <w:left w:val="nil"/>
          <w:bottom w:val="nil"/>
          <w:right w:val="nil"/>
          <w:between w:val="nil"/>
        </w:pBdr>
        <w:spacing w:before="120" w:after="120"/>
        <w:jc w:val="left"/>
        <w:rPr>
          <w:sz w:val="24"/>
          <w:szCs w:val="24"/>
        </w:rPr>
      </w:pPr>
      <w:bookmarkStart w:id="25" w:name="_2bn6wsx" w:colFirst="0" w:colLast="0"/>
      <w:bookmarkEnd w:id="25"/>
      <w:r>
        <w:rPr>
          <w:color w:val="000000"/>
          <w:sz w:val="24"/>
          <w:szCs w:val="24"/>
        </w:rPr>
        <w:t xml:space="preserve">The Supplier shall test the BCDR Plan: </w:t>
      </w:r>
    </w:p>
    <w:p w14:paraId="4F85EA4A"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regularly and in any event not less than once in every Contract </w:t>
      </w:r>
      <w:proofErr w:type="gramStart"/>
      <w:r>
        <w:rPr>
          <w:color w:val="000000"/>
          <w:sz w:val="24"/>
          <w:szCs w:val="24"/>
        </w:rPr>
        <w:t>Year;</w:t>
      </w:r>
      <w:proofErr w:type="gramEnd"/>
    </w:p>
    <w:p w14:paraId="5F79F0B2"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in the event of any major reconfiguration of the Deliverables</w:t>
      </w:r>
    </w:p>
    <w:p w14:paraId="6413D85E"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at any time where the Buyer considers it necessary (acting in its sole discretion).  </w:t>
      </w:r>
    </w:p>
    <w:p w14:paraId="68608A14" w14:textId="77777777" w:rsidR="000B07C4" w:rsidRDefault="00F84CBF">
      <w:pPr>
        <w:numPr>
          <w:ilvl w:val="1"/>
          <w:numId w:val="3"/>
        </w:numPr>
        <w:pBdr>
          <w:top w:val="nil"/>
          <w:left w:val="nil"/>
          <w:bottom w:val="nil"/>
          <w:right w:val="nil"/>
          <w:between w:val="nil"/>
        </w:pBdr>
        <w:spacing w:before="120" w:after="120"/>
        <w:jc w:val="left"/>
        <w:rPr>
          <w:sz w:val="24"/>
          <w:szCs w:val="24"/>
        </w:rPr>
      </w:pPr>
      <w:bookmarkStart w:id="26" w:name="_qsh70q" w:colFirst="0" w:colLast="0"/>
      <w:bookmarkEnd w:id="26"/>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5A9E0BBD" w14:textId="77777777" w:rsidR="000B07C4" w:rsidRDefault="00F84CB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7C352FC4" w14:textId="77777777" w:rsidR="000B07C4" w:rsidRDefault="00F84CB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color w:val="000000"/>
          <w:sz w:val="24"/>
          <w:szCs w:val="24"/>
        </w:rPr>
        <w:t>so</w:t>
      </w:r>
      <w:proofErr w:type="gramEnd"/>
      <w:r>
        <w:rPr>
          <w:color w:val="000000"/>
          <w:sz w:val="24"/>
          <w:szCs w:val="24"/>
        </w:rPr>
        <w:t xml:space="preserve"> required by the Buyer) destroyed or returned to the Buyer on completion of the test.</w:t>
      </w:r>
    </w:p>
    <w:p w14:paraId="1F7677CD" w14:textId="77777777" w:rsidR="000B07C4" w:rsidRDefault="00F84CBF">
      <w:pPr>
        <w:keepNext/>
        <w:numPr>
          <w:ilvl w:val="1"/>
          <w:numId w:val="3"/>
        </w:numPr>
        <w:pBdr>
          <w:top w:val="nil"/>
          <w:left w:val="nil"/>
          <w:bottom w:val="nil"/>
          <w:right w:val="nil"/>
          <w:between w:val="nil"/>
        </w:pBdr>
        <w:spacing w:before="120" w:after="120"/>
        <w:jc w:val="left"/>
        <w:rPr>
          <w:sz w:val="24"/>
          <w:szCs w:val="24"/>
        </w:rPr>
      </w:pPr>
      <w:r>
        <w:rPr>
          <w:color w:val="000000"/>
          <w:sz w:val="24"/>
          <w:szCs w:val="24"/>
        </w:rPr>
        <w:t>The Supplier shall, within twenty (20) Working Days of the conclusion of each test, provide to the Buyer a report setting out:</w:t>
      </w:r>
    </w:p>
    <w:p w14:paraId="1EDEC838"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outcome of the </w:t>
      </w:r>
      <w:proofErr w:type="gramStart"/>
      <w:r>
        <w:rPr>
          <w:color w:val="000000"/>
          <w:sz w:val="24"/>
          <w:szCs w:val="24"/>
        </w:rPr>
        <w:t>test;</w:t>
      </w:r>
      <w:proofErr w:type="gramEnd"/>
    </w:p>
    <w:p w14:paraId="63B3D087"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any failures in the BCDR Plan (including the BCDR Plan's procedures) revealed by the test; and</w:t>
      </w:r>
    </w:p>
    <w:p w14:paraId="0453B020"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Supplier's proposals for remedying any such failures.</w:t>
      </w:r>
    </w:p>
    <w:p w14:paraId="19987061" w14:textId="77777777" w:rsidR="000B07C4" w:rsidRDefault="00F84CBF">
      <w:pPr>
        <w:numPr>
          <w:ilvl w:val="1"/>
          <w:numId w:val="3"/>
        </w:numPr>
        <w:pBdr>
          <w:top w:val="nil"/>
          <w:left w:val="nil"/>
          <w:bottom w:val="nil"/>
          <w:right w:val="nil"/>
          <w:between w:val="nil"/>
        </w:pBdr>
        <w:spacing w:before="120" w:after="120"/>
        <w:jc w:val="left"/>
        <w:rPr>
          <w:sz w:val="24"/>
          <w:szCs w:val="24"/>
        </w:rPr>
      </w:pPr>
      <w:bookmarkStart w:id="27" w:name="_3as4poj" w:colFirst="0" w:colLast="0"/>
      <w:bookmarkEnd w:id="27"/>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81BE7EC" w14:textId="77777777" w:rsidR="000B07C4" w:rsidRDefault="00F84CBF">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sz w:val="24"/>
          <w:szCs w:val="24"/>
        </w:rPr>
      </w:pPr>
      <w:bookmarkStart w:id="28" w:name="_1pxezwc" w:colFirst="0" w:colLast="0"/>
      <w:bookmarkEnd w:id="28"/>
      <w:r>
        <w:rPr>
          <w:rFonts w:ascii="Arial Bold" w:eastAsia="Arial Bold" w:hAnsi="Arial Bold" w:cs="Arial Bold"/>
          <w:b/>
          <w:color w:val="000000"/>
          <w:sz w:val="24"/>
          <w:szCs w:val="24"/>
        </w:rPr>
        <w:t>Invoking the BCDR Plan</w:t>
      </w:r>
    </w:p>
    <w:p w14:paraId="319D026E" w14:textId="77777777" w:rsidR="000B07C4" w:rsidRDefault="00F84CBF">
      <w:pPr>
        <w:numPr>
          <w:ilvl w:val="1"/>
          <w:numId w:val="3"/>
        </w:numPr>
        <w:pBdr>
          <w:top w:val="nil"/>
          <w:left w:val="nil"/>
          <w:bottom w:val="nil"/>
          <w:right w:val="nil"/>
          <w:between w:val="nil"/>
        </w:pBdr>
        <w:spacing w:before="120" w:after="120"/>
        <w:jc w:val="left"/>
        <w:rPr>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F730A8D" w14:textId="77777777" w:rsidR="000B07C4" w:rsidRDefault="00F84CBF">
      <w:pPr>
        <w:numPr>
          <w:ilvl w:val="1"/>
          <w:numId w:val="3"/>
        </w:numPr>
        <w:pBdr>
          <w:top w:val="nil"/>
          <w:left w:val="nil"/>
          <w:bottom w:val="nil"/>
          <w:right w:val="nil"/>
          <w:between w:val="nil"/>
        </w:pBdr>
        <w:spacing w:before="120" w:after="120"/>
        <w:jc w:val="left"/>
        <w:rPr>
          <w:sz w:val="24"/>
          <w:szCs w:val="24"/>
        </w:rPr>
      </w:pPr>
      <w:bookmarkStart w:id="29" w:name="_49x2ik5" w:colFirst="0" w:colLast="0"/>
      <w:bookmarkEnd w:id="29"/>
      <w:r>
        <w:rPr>
          <w:sz w:val="24"/>
          <w:szCs w:val="24"/>
        </w:rPr>
        <w:t xml:space="preserve">The </w:t>
      </w:r>
      <w:r>
        <w:rPr>
          <w:color w:val="000000"/>
          <w:sz w:val="24"/>
          <w:szCs w:val="24"/>
        </w:rPr>
        <w:t>Insolvency</w:t>
      </w:r>
      <w:r>
        <w:rPr>
          <w:sz w:val="24"/>
          <w:szCs w:val="24"/>
        </w:rPr>
        <w:t xml:space="preserve"> Continuity Plan element of the BCDR Plan, including any linked elements in other parts of the BCDR Plan, shall be invoked by the Supplier:</w:t>
      </w:r>
    </w:p>
    <w:p w14:paraId="2B68C633"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where an Insolvency Event of a Key Sub-contractor and/or Supplier Group member (other than the Supplier) could reasonably be expected to adversely affect delivery of the Deliverables; and/or</w:t>
      </w:r>
    </w:p>
    <w:p w14:paraId="6D88597B" w14:textId="77777777" w:rsidR="000B07C4" w:rsidRDefault="00F84CB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where there is an Insolvency Event of the </w:t>
      </w:r>
      <w:proofErr w:type="gramStart"/>
      <w:r>
        <w:rPr>
          <w:color w:val="000000"/>
          <w:sz w:val="24"/>
          <w:szCs w:val="24"/>
        </w:rPr>
        <w:t>Supplier</w:t>
      </w:r>
      <w:proofErr w:type="gramEnd"/>
      <w:r>
        <w:rPr>
          <w:color w:val="000000"/>
          <w:sz w:val="24"/>
          <w:szCs w:val="24"/>
        </w:rPr>
        <w:t xml:space="preserve"> and the insolvency arrangements enable the Supplier to invoke the plan.</w:t>
      </w:r>
    </w:p>
    <w:p w14:paraId="22DDC46A" w14:textId="77777777" w:rsidR="000B07C4" w:rsidRDefault="00F84CBF">
      <w:pPr>
        <w:keepNext/>
        <w:numPr>
          <w:ilvl w:val="0"/>
          <w:numId w:val="3"/>
        </w:numPr>
        <w:pBdr>
          <w:top w:val="nil"/>
          <w:left w:val="nil"/>
          <w:bottom w:val="nil"/>
          <w:right w:val="nil"/>
          <w:between w:val="nil"/>
        </w:pBdr>
        <w:tabs>
          <w:tab w:val="left" w:pos="0"/>
        </w:tabs>
        <w:spacing w:before="240"/>
        <w:ind w:left="504"/>
        <w:jc w:val="left"/>
        <w:rPr>
          <w:b/>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30C4CC62" w14:textId="77777777" w:rsidR="000B07C4" w:rsidRDefault="00F84CB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8E19615" w14:textId="77777777" w:rsidR="000B07C4" w:rsidRDefault="00F84CBF">
      <w:pPr>
        <w:keepNext/>
        <w:numPr>
          <w:ilvl w:val="0"/>
          <w:numId w:val="3"/>
        </w:numPr>
        <w:pBdr>
          <w:top w:val="nil"/>
          <w:left w:val="nil"/>
          <w:bottom w:val="nil"/>
          <w:right w:val="nil"/>
          <w:between w:val="nil"/>
        </w:pBdr>
        <w:tabs>
          <w:tab w:val="left" w:pos="0"/>
        </w:tabs>
        <w:spacing w:before="240"/>
        <w:ind w:left="504" w:hanging="930"/>
        <w:jc w:val="left"/>
        <w:rPr>
          <w:rFonts w:ascii="Arial Bold" w:eastAsia="Arial Bold" w:hAnsi="Arial Bold" w:cs="Arial Bold"/>
          <w:b/>
          <w:sz w:val="24"/>
          <w:szCs w:val="24"/>
        </w:rPr>
      </w:pPr>
      <w:r>
        <w:rPr>
          <w:rFonts w:ascii="Arial Bold" w:eastAsia="Arial Bold" w:hAnsi="Arial Bold" w:cs="Arial Bold"/>
          <w:b/>
          <w:color w:val="000000"/>
          <w:sz w:val="24"/>
          <w:szCs w:val="24"/>
        </w:rPr>
        <w:t>Amendments to this Schedule in respect of Bronze Contracts</w:t>
      </w:r>
    </w:p>
    <w:p w14:paraId="51476C3C" w14:textId="77777777" w:rsidR="000B07C4" w:rsidRDefault="00F84CBF">
      <w:pPr>
        <w:numPr>
          <w:ilvl w:val="1"/>
          <w:numId w:val="3"/>
        </w:numPr>
        <w:pBdr>
          <w:top w:val="nil"/>
          <w:left w:val="nil"/>
          <w:bottom w:val="nil"/>
          <w:right w:val="nil"/>
          <w:between w:val="nil"/>
        </w:pBdr>
        <w:spacing w:before="120" w:after="120"/>
        <w:jc w:val="left"/>
        <w:rPr>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14:paraId="3C101403"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Paragraph 1.3.4 of Part A so that the BCDR plan shall only be required to be split into the three sections detailed in paragraphs 1.3.1 to 1.3.3 </w:t>
      </w:r>
      <w:proofErr w:type="gramStart"/>
      <w:r>
        <w:rPr>
          <w:color w:val="000000"/>
          <w:sz w:val="24"/>
          <w:szCs w:val="24"/>
        </w:rPr>
        <w:t>inclusive;</w:t>
      </w:r>
      <w:proofErr w:type="gramEnd"/>
    </w:p>
    <w:p w14:paraId="4FDC853D"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Paragraphs 2.1.13 to 2.1.15 of Part A, </w:t>
      </w:r>
      <w:proofErr w:type="gramStart"/>
      <w:r>
        <w:rPr>
          <w:color w:val="000000"/>
          <w:sz w:val="24"/>
          <w:szCs w:val="24"/>
        </w:rPr>
        <w:t>inclusive;</w:t>
      </w:r>
      <w:proofErr w:type="gramEnd"/>
    </w:p>
    <w:p w14:paraId="59F0604E"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Paragraph 5 (Insolvency Continuity Plan) of Part </w:t>
      </w:r>
      <w:proofErr w:type="gramStart"/>
      <w:r>
        <w:rPr>
          <w:color w:val="000000"/>
          <w:sz w:val="24"/>
          <w:szCs w:val="24"/>
        </w:rPr>
        <w:t>A;</w:t>
      </w:r>
      <w:proofErr w:type="gramEnd"/>
    </w:p>
    <w:p w14:paraId="75AB86CB"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Paragraph 8.2 of Part A; and</w:t>
      </w:r>
    </w:p>
    <w:p w14:paraId="505F209E"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The entirety of Part B of this Schedule.</w:t>
      </w:r>
    </w:p>
    <w:p w14:paraId="6C732570" w14:textId="77777777" w:rsidR="000B07C4" w:rsidRDefault="00F84CBF">
      <w:pPr>
        <w:numPr>
          <w:ilvl w:val="1"/>
          <w:numId w:val="3"/>
        </w:numPr>
        <w:pBdr>
          <w:top w:val="nil"/>
          <w:left w:val="nil"/>
          <w:bottom w:val="nil"/>
          <w:right w:val="nil"/>
          <w:between w:val="nil"/>
        </w:pBdr>
        <w:spacing w:before="120" w:after="120"/>
        <w:jc w:val="left"/>
        <w:rPr>
          <w:sz w:val="24"/>
          <w:szCs w:val="24"/>
        </w:rPr>
      </w:pPr>
      <w:r>
        <w:rPr>
          <w:color w:val="000000"/>
          <w:sz w:val="24"/>
          <w:szCs w:val="24"/>
        </w:rPr>
        <w:t>Where a Buyer’s Call-Off Contract is a Bronze Contract, if specified in the Order Form, the following definitions in Paragraph 1 of this Call-Off Schedule 8, shall be deemed to be deleted:</w:t>
      </w:r>
    </w:p>
    <w:p w14:paraId="187023F0"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Annual </w:t>
      </w:r>
      <w:proofErr w:type="gramStart"/>
      <w:r>
        <w:rPr>
          <w:color w:val="000000"/>
          <w:sz w:val="24"/>
          <w:szCs w:val="24"/>
        </w:rPr>
        <w:t>Review;</w:t>
      </w:r>
      <w:proofErr w:type="gramEnd"/>
    </w:p>
    <w:p w14:paraId="211F778B"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Appropriate Authority or Appropriate </w:t>
      </w:r>
      <w:proofErr w:type="gramStart"/>
      <w:r>
        <w:rPr>
          <w:color w:val="000000"/>
          <w:sz w:val="24"/>
          <w:szCs w:val="24"/>
        </w:rPr>
        <w:t>Authorities;</w:t>
      </w:r>
      <w:proofErr w:type="gramEnd"/>
    </w:p>
    <w:p w14:paraId="4F39E2AA" w14:textId="77777777" w:rsidR="000B07C4" w:rsidRDefault="00F84CBF">
      <w:pPr>
        <w:numPr>
          <w:ilvl w:val="2"/>
          <w:numId w:val="3"/>
        </w:numPr>
        <w:pBdr>
          <w:top w:val="nil"/>
          <w:left w:val="nil"/>
          <w:bottom w:val="nil"/>
          <w:right w:val="nil"/>
          <w:between w:val="nil"/>
        </w:pBdr>
        <w:spacing w:before="120" w:after="120"/>
        <w:jc w:val="left"/>
        <w:rPr>
          <w:sz w:val="24"/>
          <w:szCs w:val="24"/>
        </w:rPr>
      </w:pPr>
      <w:proofErr w:type="gramStart"/>
      <w:r>
        <w:rPr>
          <w:color w:val="000000"/>
          <w:sz w:val="24"/>
          <w:szCs w:val="24"/>
        </w:rPr>
        <w:t>Associates;</w:t>
      </w:r>
      <w:proofErr w:type="gramEnd"/>
    </w:p>
    <w:p w14:paraId="7AB9856C"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lastRenderedPageBreak/>
        <w:t xml:space="preserve">Class 1 </w:t>
      </w:r>
      <w:proofErr w:type="gramStart"/>
      <w:r>
        <w:rPr>
          <w:color w:val="000000"/>
          <w:sz w:val="24"/>
          <w:szCs w:val="24"/>
        </w:rPr>
        <w:t>Transaction;</w:t>
      </w:r>
      <w:proofErr w:type="gramEnd"/>
    </w:p>
    <w:p w14:paraId="3A406F21" w14:textId="77777777" w:rsidR="000B07C4" w:rsidRDefault="00F84CBF">
      <w:pPr>
        <w:numPr>
          <w:ilvl w:val="2"/>
          <w:numId w:val="3"/>
        </w:numPr>
        <w:pBdr>
          <w:top w:val="nil"/>
          <w:left w:val="nil"/>
          <w:bottom w:val="nil"/>
          <w:right w:val="nil"/>
          <w:between w:val="nil"/>
        </w:pBdr>
        <w:spacing w:before="120" w:after="120"/>
        <w:jc w:val="left"/>
        <w:rPr>
          <w:sz w:val="24"/>
          <w:szCs w:val="24"/>
        </w:rPr>
      </w:pPr>
      <w:proofErr w:type="gramStart"/>
      <w:r>
        <w:rPr>
          <w:color w:val="000000"/>
          <w:sz w:val="24"/>
          <w:szCs w:val="24"/>
        </w:rPr>
        <w:t>Control;</w:t>
      </w:r>
      <w:proofErr w:type="gramEnd"/>
    </w:p>
    <w:p w14:paraId="54F4183C"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Corporate Change </w:t>
      </w:r>
      <w:proofErr w:type="gramStart"/>
      <w:r>
        <w:rPr>
          <w:color w:val="000000"/>
          <w:sz w:val="24"/>
          <w:szCs w:val="24"/>
        </w:rPr>
        <w:t>Event;</w:t>
      </w:r>
      <w:proofErr w:type="gramEnd"/>
    </w:p>
    <w:p w14:paraId="33528812"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Critical National </w:t>
      </w:r>
      <w:proofErr w:type="gramStart"/>
      <w:r>
        <w:rPr>
          <w:color w:val="000000"/>
          <w:sz w:val="24"/>
          <w:szCs w:val="24"/>
        </w:rPr>
        <w:t>Infrastructure;</w:t>
      </w:r>
      <w:proofErr w:type="gramEnd"/>
    </w:p>
    <w:p w14:paraId="003ADEF4"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Critical Service </w:t>
      </w:r>
      <w:proofErr w:type="gramStart"/>
      <w:r>
        <w:rPr>
          <w:color w:val="000000"/>
          <w:sz w:val="24"/>
          <w:szCs w:val="24"/>
        </w:rPr>
        <w:t>Contract;</w:t>
      </w:r>
      <w:proofErr w:type="gramEnd"/>
    </w:p>
    <w:p w14:paraId="6D87E3E5" w14:textId="77777777" w:rsidR="000B07C4" w:rsidRDefault="00F84CB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CRP </w:t>
      </w:r>
      <w:proofErr w:type="gramStart"/>
      <w:r>
        <w:rPr>
          <w:color w:val="000000"/>
          <w:sz w:val="24"/>
          <w:szCs w:val="24"/>
        </w:rPr>
        <w:t>Information;</w:t>
      </w:r>
      <w:proofErr w:type="gramEnd"/>
    </w:p>
    <w:p w14:paraId="113EBD4F" w14:textId="77777777" w:rsidR="000B07C4" w:rsidRDefault="00F84CB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Dependent Parent </w:t>
      </w:r>
      <w:proofErr w:type="gramStart"/>
      <w:r>
        <w:rPr>
          <w:color w:val="000000"/>
          <w:sz w:val="24"/>
          <w:szCs w:val="24"/>
        </w:rPr>
        <w:t>Undertaking;</w:t>
      </w:r>
      <w:proofErr w:type="gramEnd"/>
    </w:p>
    <w:p w14:paraId="2EF13DF7" w14:textId="77777777" w:rsidR="000B07C4" w:rsidRDefault="00F84CB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Group Structure Information and Resolution </w:t>
      </w:r>
      <w:proofErr w:type="gramStart"/>
      <w:r>
        <w:rPr>
          <w:color w:val="000000"/>
          <w:sz w:val="24"/>
          <w:szCs w:val="24"/>
        </w:rPr>
        <w:t>Commentary;</w:t>
      </w:r>
      <w:proofErr w:type="gramEnd"/>
    </w:p>
    <w:p w14:paraId="77E30465" w14:textId="77777777" w:rsidR="000B07C4" w:rsidRDefault="00F84CB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Parent </w:t>
      </w:r>
      <w:proofErr w:type="gramStart"/>
      <w:r>
        <w:rPr>
          <w:color w:val="000000"/>
          <w:sz w:val="24"/>
          <w:szCs w:val="24"/>
        </w:rPr>
        <w:t>Undertaking;</w:t>
      </w:r>
      <w:proofErr w:type="gramEnd"/>
    </w:p>
    <w:p w14:paraId="5B2C8476" w14:textId="77777777" w:rsidR="000B07C4" w:rsidRDefault="00F84CB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Public Sector Dependent </w:t>
      </w:r>
      <w:proofErr w:type="gramStart"/>
      <w:r>
        <w:rPr>
          <w:color w:val="000000"/>
          <w:sz w:val="24"/>
          <w:szCs w:val="24"/>
        </w:rPr>
        <w:t>Supplier;</w:t>
      </w:r>
      <w:proofErr w:type="gramEnd"/>
    </w:p>
    <w:p w14:paraId="55E280C0" w14:textId="77777777" w:rsidR="000B07C4" w:rsidRDefault="00F84CB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Subsidiary </w:t>
      </w:r>
      <w:proofErr w:type="gramStart"/>
      <w:r>
        <w:rPr>
          <w:color w:val="000000"/>
          <w:sz w:val="24"/>
          <w:szCs w:val="24"/>
        </w:rPr>
        <w:t>Undertaking;</w:t>
      </w:r>
      <w:proofErr w:type="gramEnd"/>
    </w:p>
    <w:p w14:paraId="6D723671" w14:textId="77777777" w:rsidR="000B07C4" w:rsidRDefault="00F84CB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Supplier </w:t>
      </w:r>
      <w:proofErr w:type="gramStart"/>
      <w:r>
        <w:rPr>
          <w:color w:val="000000"/>
          <w:sz w:val="24"/>
          <w:szCs w:val="24"/>
        </w:rPr>
        <w:t>Group;</w:t>
      </w:r>
      <w:proofErr w:type="gramEnd"/>
    </w:p>
    <w:p w14:paraId="519F6E15" w14:textId="77777777" w:rsidR="000B07C4" w:rsidRDefault="00F84CB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UK Public Sector Business; and</w:t>
      </w:r>
    </w:p>
    <w:p w14:paraId="6C4EFE28" w14:textId="77777777" w:rsidR="000B07C4" w:rsidRDefault="00F84CB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UK Public Sector/CNI Contract Information.</w:t>
      </w:r>
    </w:p>
    <w:p w14:paraId="2D793F44" w14:textId="77777777" w:rsidR="000B07C4" w:rsidRDefault="000B07C4">
      <w:pPr>
        <w:pBdr>
          <w:top w:val="nil"/>
          <w:left w:val="nil"/>
          <w:bottom w:val="nil"/>
          <w:right w:val="nil"/>
          <w:between w:val="nil"/>
        </w:pBdr>
        <w:spacing w:before="120" w:after="120"/>
        <w:ind w:left="0"/>
        <w:jc w:val="left"/>
        <w:rPr>
          <w:color w:val="000000"/>
          <w:sz w:val="24"/>
          <w:szCs w:val="24"/>
        </w:rPr>
      </w:pPr>
    </w:p>
    <w:p w14:paraId="1F7CDB90" w14:textId="77777777" w:rsidR="000B07C4" w:rsidRDefault="00F84CBF">
      <w:pPr>
        <w:ind w:firstLine="1418"/>
        <w:rPr>
          <w:color w:val="000000"/>
          <w:sz w:val="24"/>
          <w:szCs w:val="24"/>
        </w:rPr>
      </w:pPr>
      <w:r>
        <w:br w:type="page"/>
      </w:r>
    </w:p>
    <w:p w14:paraId="13FFDE36" w14:textId="77777777" w:rsidR="000B07C4" w:rsidRDefault="00F84CBF">
      <w:pPr>
        <w:pBdr>
          <w:top w:val="nil"/>
          <w:left w:val="nil"/>
          <w:bottom w:val="nil"/>
          <w:right w:val="nil"/>
          <w:between w:val="nil"/>
        </w:pBdr>
        <w:spacing w:before="120" w:after="120"/>
        <w:ind w:left="720" w:hanging="720"/>
        <w:rPr>
          <w:b/>
          <w:color w:val="000000"/>
          <w:sz w:val="32"/>
          <w:szCs w:val="32"/>
        </w:rPr>
      </w:pPr>
      <w:r>
        <w:rPr>
          <w:b/>
          <w:color w:val="000000"/>
          <w:sz w:val="32"/>
          <w:szCs w:val="32"/>
        </w:rPr>
        <w:lastRenderedPageBreak/>
        <w:t>Part B:  Corporate Resolution Planning</w:t>
      </w:r>
    </w:p>
    <w:p w14:paraId="59FC6840" w14:textId="77777777" w:rsidR="000B07C4" w:rsidRDefault="00F84CBF">
      <w:pPr>
        <w:keepNext/>
        <w:numPr>
          <w:ilvl w:val="0"/>
          <w:numId w:val="4"/>
        </w:numPr>
        <w:pBdr>
          <w:top w:val="nil"/>
          <w:left w:val="nil"/>
          <w:bottom w:val="nil"/>
          <w:right w:val="nil"/>
          <w:between w:val="nil"/>
        </w:pBdr>
        <w:tabs>
          <w:tab w:val="left" w:pos="0"/>
        </w:tabs>
        <w:spacing w:before="240"/>
        <w:jc w:val="left"/>
        <w:rPr>
          <w:b/>
          <w:sz w:val="24"/>
          <w:szCs w:val="24"/>
        </w:rPr>
      </w:pPr>
      <w:r>
        <w:rPr>
          <w:b/>
          <w:color w:val="000000"/>
          <w:sz w:val="24"/>
          <w:szCs w:val="24"/>
        </w:rPr>
        <w:t>Service Status and Supplier Status</w:t>
      </w:r>
    </w:p>
    <w:p w14:paraId="433846A7" w14:textId="6247C906"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This Contract is</w:t>
      </w:r>
      <w:r>
        <w:rPr>
          <w:color w:val="000000"/>
          <w:sz w:val="24"/>
          <w:szCs w:val="24"/>
        </w:rPr>
        <w:t xml:space="preserve"> a Critical Service Contract.</w:t>
      </w:r>
    </w:p>
    <w:p w14:paraId="60FB419E"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 xml:space="preserve">The Supplier shall notify the Buyer in writing within 5 Working Days of the Effective Date and throughout the Call-Off Contract Period within 120 days after each Accounting Reference Date as to </w:t>
      </w:r>
      <w:proofErr w:type="gramStart"/>
      <w:r>
        <w:rPr>
          <w:color w:val="000000"/>
          <w:sz w:val="24"/>
          <w:szCs w:val="24"/>
        </w:rPr>
        <w:t>whether or not</w:t>
      </w:r>
      <w:proofErr w:type="gramEnd"/>
      <w:r>
        <w:rPr>
          <w:color w:val="000000"/>
          <w:sz w:val="24"/>
          <w:szCs w:val="24"/>
        </w:rPr>
        <w:t xml:space="preserve"> it is a Public Sector Dependent Supplier.</w:t>
      </w:r>
    </w:p>
    <w:p w14:paraId="22113925" w14:textId="77777777" w:rsidR="000B07C4" w:rsidRDefault="00F84CBF">
      <w:pPr>
        <w:keepNext/>
        <w:numPr>
          <w:ilvl w:val="0"/>
          <w:numId w:val="4"/>
        </w:numPr>
        <w:pBdr>
          <w:top w:val="nil"/>
          <w:left w:val="nil"/>
          <w:bottom w:val="nil"/>
          <w:right w:val="nil"/>
          <w:between w:val="nil"/>
        </w:pBdr>
        <w:tabs>
          <w:tab w:val="left" w:pos="0"/>
        </w:tabs>
        <w:spacing w:before="240"/>
        <w:jc w:val="left"/>
        <w:rPr>
          <w:b/>
          <w:sz w:val="24"/>
          <w:szCs w:val="24"/>
        </w:rPr>
      </w:pPr>
      <w:r>
        <w:rPr>
          <w:b/>
          <w:color w:val="000000"/>
          <w:sz w:val="24"/>
          <w:szCs w:val="24"/>
        </w:rPr>
        <w:t>Provision of Corporate Resolution Planning Information</w:t>
      </w:r>
    </w:p>
    <w:p w14:paraId="09CA05C1"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Paragraphs 2 to 4 of this Part B shall apply if the Contract has been specified as a Critical Service Contract under Paragraph 1.1 of this Part B or the Supplier is or becomes a Public Sector Dependent Supplier.</w:t>
      </w:r>
    </w:p>
    <w:p w14:paraId="264B7144"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Subject to Paragraphs 2.6, 2.10 and 2.11 of this Part B:</w:t>
      </w:r>
    </w:p>
    <w:p w14:paraId="3745015D"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14:paraId="6D522772"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14:paraId="03C03861"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The Supplier shall ensure that the CRP Information provided pursuant to Paragraphs 2.2, 2.8 and 2.9 of this Part B:</w:t>
      </w:r>
    </w:p>
    <w:p w14:paraId="003F8D60"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is full, comprehensive, accurate and up to </w:t>
      </w:r>
      <w:proofErr w:type="gramStart"/>
      <w:r>
        <w:rPr>
          <w:sz w:val="24"/>
          <w:szCs w:val="24"/>
        </w:rPr>
        <w:t>date;</w:t>
      </w:r>
      <w:proofErr w:type="gramEnd"/>
    </w:p>
    <w:p w14:paraId="211F4ED4"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is split into two parts:</w:t>
      </w:r>
    </w:p>
    <w:p w14:paraId="491FE246" w14:textId="77777777" w:rsidR="000B07C4" w:rsidRDefault="00F84CB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 xml:space="preserve">Group Structure Information and Resolution </w:t>
      </w:r>
      <w:proofErr w:type="gramStart"/>
      <w:r>
        <w:rPr>
          <w:color w:val="000000"/>
          <w:sz w:val="24"/>
          <w:szCs w:val="24"/>
        </w:rPr>
        <w:t>Commentary;</w:t>
      </w:r>
      <w:proofErr w:type="gramEnd"/>
    </w:p>
    <w:p w14:paraId="673875B0" w14:textId="77777777" w:rsidR="000B07C4" w:rsidRDefault="00F84CB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roofErr w:type="gramStart"/>
      <w:r>
        <w:rPr>
          <w:color w:val="000000"/>
          <w:sz w:val="24"/>
          <w:szCs w:val="24"/>
        </w:rPr>
        <w:t>);</w:t>
      </w:r>
      <w:proofErr w:type="gramEnd"/>
    </w:p>
    <w:p w14:paraId="7C07CE1B"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Appropriate Authority or Appropriate Authorities to understand and consider the information for </w:t>
      </w:r>
      <w:proofErr w:type="gramStart"/>
      <w:r>
        <w:rPr>
          <w:sz w:val="24"/>
          <w:szCs w:val="24"/>
        </w:rPr>
        <w:t>approval;</w:t>
      </w:r>
      <w:proofErr w:type="gramEnd"/>
    </w:p>
    <w:p w14:paraId="527AD499"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4D3AD5E9"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652D2DCC"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w:t>
      </w:r>
      <w:r>
        <w:rPr>
          <w:color w:val="000000"/>
          <w:sz w:val="24"/>
          <w:szCs w:val="24"/>
        </w:rPr>
        <w:t>rities approves the CRP Information or that the Appropriate Authority or Appropriate Authorities rejects the CRP Information.</w:t>
      </w:r>
    </w:p>
    <w:p w14:paraId="1142E95E"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If the Appropriate Authority or Appropriate Authorities rejects the CRP Information:</w:t>
      </w:r>
    </w:p>
    <w:p w14:paraId="4EFF7119"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38A29D88"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w:t>
      </w:r>
      <w:r>
        <w:rPr>
          <w:sz w:val="24"/>
          <w:szCs w:val="24"/>
        </w:rPr>
        <w:t xml:space="preserve"> for resolution by the Dispute Resolution Procedure under Clause 34 of the Core Terms at any time.</w:t>
      </w:r>
    </w:p>
    <w:p w14:paraId="51822EE4"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w:t>
      </w:r>
      <w:r>
        <w:rPr>
          <w:color w:val="000000"/>
          <w:sz w:val="24"/>
          <w:szCs w:val="24"/>
        </w:rPr>
        <w:t xml:space="preserv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14:paraId="0A4DBB6C"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An Assurance shall be deemed Valid for the purposes of Paragraph 2.6 of this Part B if:</w:t>
      </w:r>
    </w:p>
    <w:p w14:paraId="631BC27F"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3B017F0B"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43739AF8"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If the Contract is a Critical Service Contract, the Supplier shall provide an updated version of the CRP Information (or, in the case of Paragraph 2.8.3 of this Part B its initial CRP Information) to the Appropriate Authority or Appropriate Authorities:</w:t>
      </w:r>
    </w:p>
    <w:p w14:paraId="450CEAFE"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roofErr w:type="gramStart"/>
      <w:r>
        <w:rPr>
          <w:sz w:val="24"/>
          <w:szCs w:val="24"/>
        </w:rPr>
        <w:t>);</w:t>
      </w:r>
      <w:proofErr w:type="gramEnd"/>
    </w:p>
    <w:p w14:paraId="1B9FF661"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within 30 days of a Corporate Change Event unless not required pursuant to Paragraph </w:t>
      </w:r>
      <w:proofErr w:type="gramStart"/>
      <w:r>
        <w:rPr>
          <w:sz w:val="24"/>
          <w:szCs w:val="24"/>
        </w:rPr>
        <w:t>2.10;</w:t>
      </w:r>
      <w:proofErr w:type="gramEnd"/>
    </w:p>
    <w:p w14:paraId="62BBB47D"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within 30 days of the date that:</w:t>
      </w:r>
    </w:p>
    <w:p w14:paraId="560803AA" w14:textId="77777777" w:rsidR="000B07C4" w:rsidRDefault="00F84CB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the credit rating(s) of each of the Supplier and its Parent Undertakings fail to meet any of the criteria specified in Paragraph 2.10; or</w:t>
      </w:r>
    </w:p>
    <w:p w14:paraId="0C816BF3" w14:textId="77777777" w:rsidR="000B07C4" w:rsidRDefault="00F84CB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none of the credit rating agencies specified at Paragraph 2.10 hold a public credit rating for the Supplier or any of its Parent Undertakings; and</w:t>
      </w:r>
    </w:p>
    <w:p w14:paraId="5C16FEED"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14:paraId="793EA608" w14:textId="77777777" w:rsidR="000B07C4" w:rsidRDefault="00F84CB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14:paraId="73747C3C" w14:textId="77777777" w:rsidR="000B07C4" w:rsidRDefault="00F84CB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unless not required pursuant to Paragraph 2.10.</w:t>
      </w:r>
    </w:p>
    <w:p w14:paraId="56CF0966"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w:t>
      </w:r>
      <w:r>
        <w:rPr>
          <w:color w:val="000000"/>
          <w:sz w:val="24"/>
          <w:szCs w:val="24"/>
        </w:rPr>
        <w:t>ty or Appropriate Authorities.</w:t>
      </w:r>
    </w:p>
    <w:p w14:paraId="5FA874C8"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lastRenderedPageBreak/>
        <w:t>Where the Supplier or a Parent Undertaking of the Supplier has a credit rating of either:</w:t>
      </w:r>
    </w:p>
    <w:p w14:paraId="5C94F79E"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Aa3 or better from </w:t>
      </w:r>
      <w:proofErr w:type="gramStart"/>
      <w:r>
        <w:rPr>
          <w:sz w:val="24"/>
          <w:szCs w:val="24"/>
        </w:rPr>
        <w:t>Moody’s;</w:t>
      </w:r>
      <w:proofErr w:type="gramEnd"/>
    </w:p>
    <w:p w14:paraId="59EC55DE"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proofErr w:type="gramStart"/>
      <w:r>
        <w:rPr>
          <w:sz w:val="24"/>
          <w:szCs w:val="24"/>
        </w:rPr>
        <w:t>Poors</w:t>
      </w:r>
      <w:proofErr w:type="spellEnd"/>
      <w:r>
        <w:rPr>
          <w:sz w:val="24"/>
          <w:szCs w:val="24"/>
        </w:rPr>
        <w:t>;</w:t>
      </w:r>
      <w:proofErr w:type="gramEnd"/>
    </w:p>
    <w:p w14:paraId="5AA70DF3"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AA- or better from </w:t>
      </w:r>
      <w:proofErr w:type="gramStart"/>
      <w:r>
        <w:rPr>
          <w:sz w:val="24"/>
          <w:szCs w:val="24"/>
        </w:rPr>
        <w:t>Fitch;</w:t>
      </w:r>
      <w:proofErr w:type="gramEnd"/>
    </w:p>
    <w:p w14:paraId="55CEF71F" w14:textId="77777777" w:rsidR="000B07C4" w:rsidRDefault="00F84CBF">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w:t>
      </w:r>
      <w:r>
        <w:rPr>
          <w:sz w:val="24"/>
          <w:szCs w:val="24"/>
        </w:rPr>
        <w:t xml:space="preserve"> paragraph 2.8.</w:t>
      </w:r>
    </w:p>
    <w:p w14:paraId="7FEB43EA"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w:t>
      </w:r>
      <w:r>
        <w:rPr>
          <w:color w:val="000000"/>
          <w:sz w:val="24"/>
          <w:szCs w:val="24"/>
        </w:rPr>
        <w:t>omptly provide the relevant information to the Appropriate Authority or Appropriate Authorities to the extent required under Paragraph 2.8.</w:t>
      </w:r>
    </w:p>
    <w:p w14:paraId="7F99582C" w14:textId="77777777" w:rsidR="000B07C4" w:rsidRDefault="00F84CBF">
      <w:pPr>
        <w:keepNext/>
        <w:numPr>
          <w:ilvl w:val="0"/>
          <w:numId w:val="4"/>
        </w:numPr>
        <w:pBdr>
          <w:top w:val="nil"/>
          <w:left w:val="nil"/>
          <w:bottom w:val="nil"/>
          <w:right w:val="nil"/>
          <w:between w:val="nil"/>
        </w:pBdr>
        <w:tabs>
          <w:tab w:val="left" w:pos="0"/>
        </w:tabs>
        <w:spacing w:before="240"/>
        <w:jc w:val="left"/>
        <w:rPr>
          <w:b/>
          <w:sz w:val="24"/>
          <w:szCs w:val="24"/>
        </w:rPr>
      </w:pPr>
      <w:r>
        <w:rPr>
          <w:b/>
          <w:color w:val="000000"/>
          <w:sz w:val="24"/>
          <w:szCs w:val="24"/>
        </w:rPr>
        <w:t>Termination Rights</w:t>
      </w:r>
    </w:p>
    <w:p w14:paraId="38D88D0A"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The Buyer shall be entitled to terminate the Contract if the Supplier is required to provide CRP Information under Paragraph 2 of this Part B and either:</w:t>
      </w:r>
    </w:p>
    <w:p w14:paraId="66A7989D"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 Contract or otherwise within 4 months of the Appropriate Authority’s or Appropriate Authorities’ request; or</w:t>
      </w:r>
    </w:p>
    <w:p w14:paraId="4696B306"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14:paraId="1E5ECDEA" w14:textId="77777777" w:rsidR="000B07C4" w:rsidRDefault="00F84CBF">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360E5097" w14:textId="77777777" w:rsidR="000B07C4" w:rsidRDefault="00F84CBF">
      <w:pPr>
        <w:keepNext/>
        <w:numPr>
          <w:ilvl w:val="0"/>
          <w:numId w:val="4"/>
        </w:numPr>
        <w:pBdr>
          <w:top w:val="nil"/>
          <w:left w:val="nil"/>
          <w:bottom w:val="nil"/>
          <w:right w:val="nil"/>
          <w:between w:val="nil"/>
        </w:pBdr>
        <w:tabs>
          <w:tab w:val="left" w:pos="0"/>
        </w:tabs>
        <w:spacing w:before="240"/>
        <w:jc w:val="left"/>
        <w:rPr>
          <w:b/>
          <w:sz w:val="24"/>
          <w:szCs w:val="24"/>
        </w:rPr>
      </w:pPr>
      <w:r>
        <w:rPr>
          <w:b/>
          <w:color w:val="000000"/>
          <w:sz w:val="24"/>
          <w:szCs w:val="24"/>
        </w:rPr>
        <w:t>Confidentiality and usage of CRP Information</w:t>
      </w:r>
    </w:p>
    <w:p w14:paraId="5E368EBD"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6E0ED95A" w14:textId="77777777" w:rsidR="000B07C4" w:rsidRDefault="00F84CBF">
      <w:pPr>
        <w:numPr>
          <w:ilvl w:val="1"/>
          <w:numId w:val="4"/>
        </w:numPr>
        <w:pBdr>
          <w:top w:val="nil"/>
          <w:left w:val="nil"/>
          <w:bottom w:val="nil"/>
          <w:right w:val="nil"/>
          <w:between w:val="nil"/>
        </w:pBdr>
        <w:spacing w:before="120" w:after="120"/>
        <w:rPr>
          <w:sz w:val="24"/>
          <w:szCs w:val="24"/>
        </w:rPr>
      </w:pPr>
      <w:bookmarkStart w:id="30" w:name="_2p2csry" w:colFirst="0" w:colLast="0"/>
      <w:bookmarkEnd w:id="30"/>
      <w:r>
        <w:rPr>
          <w:color w:val="000000"/>
          <w:sz w:val="24"/>
          <w:szCs w:val="24"/>
        </w:rPr>
        <w:lastRenderedPageBreak/>
        <w:t>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14:paraId="4AB532BA"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14:paraId="2467EC1A"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 xml:space="preserve">Where the Supplier is unable to procure consent pursuant to Paragraph 4.3 of this Part B, the Supplier shall use all reasonable endeavours to </w:t>
      </w:r>
      <w:proofErr w:type="gramStart"/>
      <w:r>
        <w:rPr>
          <w:color w:val="000000"/>
          <w:sz w:val="24"/>
          <w:szCs w:val="24"/>
        </w:rPr>
        <w:t>disclose the CRP Information to the fullest extent</w:t>
      </w:r>
      <w:proofErr w:type="gramEnd"/>
      <w:r>
        <w:rPr>
          <w:color w:val="000000"/>
          <w:sz w:val="24"/>
          <w:szCs w:val="24"/>
        </w:rPr>
        <w:t xml:space="preserve"> possible by limiting the amount of information it withholds including by:</w:t>
      </w:r>
    </w:p>
    <w:p w14:paraId="41D975D1"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redacting only those parts of the information which are subject to such obligations of </w:t>
      </w:r>
      <w:proofErr w:type="gramStart"/>
      <w:r>
        <w:rPr>
          <w:sz w:val="24"/>
          <w:szCs w:val="24"/>
        </w:rPr>
        <w:t>confidentiality;</w:t>
      </w:r>
      <w:proofErr w:type="gramEnd"/>
    </w:p>
    <w:p w14:paraId="4E899AA2" w14:textId="77777777" w:rsidR="000B07C4" w:rsidRDefault="00F84CBF">
      <w:pPr>
        <w:keepNext/>
        <w:numPr>
          <w:ilvl w:val="2"/>
          <w:numId w:val="4"/>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0FFE0C2D" w14:textId="77777777" w:rsidR="000B07C4" w:rsidRDefault="00F84CB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 xml:space="preserve">summarising the </w:t>
      </w:r>
      <w:proofErr w:type="gramStart"/>
      <w:r>
        <w:rPr>
          <w:color w:val="000000"/>
          <w:sz w:val="24"/>
          <w:szCs w:val="24"/>
        </w:rPr>
        <w:t>information;</w:t>
      </w:r>
      <w:proofErr w:type="gramEnd"/>
    </w:p>
    <w:p w14:paraId="2025CD3A" w14:textId="77777777" w:rsidR="000B07C4" w:rsidRDefault="00F84CB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 xml:space="preserve">grouping the </w:t>
      </w:r>
      <w:proofErr w:type="gramStart"/>
      <w:r>
        <w:rPr>
          <w:color w:val="000000"/>
          <w:sz w:val="24"/>
          <w:szCs w:val="24"/>
        </w:rPr>
        <w:t>information;</w:t>
      </w:r>
      <w:proofErr w:type="gramEnd"/>
    </w:p>
    <w:p w14:paraId="653EEA5B" w14:textId="77777777" w:rsidR="000B07C4" w:rsidRDefault="00F84CB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anonymising the information; and</w:t>
      </w:r>
    </w:p>
    <w:p w14:paraId="39B19F6B" w14:textId="77777777" w:rsidR="000B07C4" w:rsidRDefault="00F84CB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presenting the information in general terms</w:t>
      </w:r>
    </w:p>
    <w:p w14:paraId="6E3D9719" w14:textId="77777777" w:rsidR="000B07C4" w:rsidRDefault="00F84CBF">
      <w:pPr>
        <w:numPr>
          <w:ilvl w:val="1"/>
          <w:numId w:val="4"/>
        </w:numPr>
        <w:pBdr>
          <w:top w:val="nil"/>
          <w:left w:val="nil"/>
          <w:bottom w:val="nil"/>
          <w:right w:val="nil"/>
          <w:between w:val="nil"/>
        </w:pBdr>
        <w:spacing w:before="120" w:after="120"/>
        <w:rPr>
          <w:sz w:val="24"/>
          <w:szCs w:val="24"/>
        </w:rPr>
      </w:pPr>
      <w:r>
        <w:rPr>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14:paraId="4BDA8202" w14:textId="77777777" w:rsidR="000B07C4" w:rsidRDefault="000B07C4">
      <w:pPr>
        <w:pBdr>
          <w:top w:val="nil"/>
          <w:left w:val="nil"/>
          <w:bottom w:val="nil"/>
          <w:right w:val="nil"/>
          <w:between w:val="nil"/>
        </w:pBdr>
        <w:spacing w:before="120" w:after="120"/>
        <w:ind w:left="720" w:hanging="720"/>
        <w:rPr>
          <w:rFonts w:ascii="Calibri" w:eastAsia="Calibri" w:hAnsi="Calibri" w:cs="Calibri"/>
          <w:color w:val="000000"/>
        </w:rPr>
      </w:pPr>
    </w:p>
    <w:p w14:paraId="18BA5E2C" w14:textId="77777777" w:rsidR="000B07C4" w:rsidRDefault="00F84CBF">
      <w:pPr>
        <w:ind w:firstLine="1418"/>
      </w:pPr>
      <w:r>
        <w:br w:type="page"/>
      </w:r>
    </w:p>
    <w:p w14:paraId="40BB707D" w14:textId="77777777" w:rsidR="000B07C4" w:rsidRDefault="00F84CBF">
      <w:pPr>
        <w:ind w:left="0"/>
        <w:rPr>
          <w:b/>
          <w:sz w:val="32"/>
          <w:szCs w:val="32"/>
        </w:rPr>
      </w:pPr>
      <w:r>
        <w:rPr>
          <w:b/>
          <w:sz w:val="32"/>
          <w:szCs w:val="32"/>
        </w:rPr>
        <w:lastRenderedPageBreak/>
        <w:t>Appendix 1: Group structure information and resolution commentary</w:t>
      </w:r>
    </w:p>
    <w:p w14:paraId="71D72F38" w14:textId="77777777" w:rsidR="000B07C4" w:rsidRDefault="00F84CBF">
      <w:pPr>
        <w:numPr>
          <w:ilvl w:val="0"/>
          <w:numId w:val="5"/>
        </w:numPr>
        <w:pBdr>
          <w:top w:val="nil"/>
          <w:left w:val="nil"/>
          <w:bottom w:val="nil"/>
          <w:right w:val="nil"/>
          <w:between w:val="nil"/>
        </w:pBdr>
        <w:rPr>
          <w:color w:val="000000"/>
          <w:sz w:val="24"/>
          <w:szCs w:val="24"/>
        </w:rPr>
      </w:pPr>
      <w:r>
        <w:rPr>
          <w:color w:val="000000"/>
          <w:sz w:val="24"/>
          <w:szCs w:val="24"/>
        </w:rPr>
        <w:t>The Supplier shall:</w:t>
      </w:r>
    </w:p>
    <w:p w14:paraId="673B5FF1" w14:textId="77777777" w:rsidR="000B07C4" w:rsidRDefault="00F84CBF">
      <w:pPr>
        <w:numPr>
          <w:ilvl w:val="1"/>
          <w:numId w:val="5"/>
        </w:numPr>
        <w:pBdr>
          <w:top w:val="nil"/>
          <w:left w:val="nil"/>
          <w:bottom w:val="nil"/>
          <w:right w:val="nil"/>
          <w:between w:val="nil"/>
        </w:pBdr>
        <w:ind w:left="1134"/>
        <w:rPr>
          <w:color w:val="000000"/>
          <w:sz w:val="24"/>
          <w:szCs w:val="24"/>
        </w:rPr>
      </w:pPr>
      <w:r>
        <w:rPr>
          <w:color w:val="000000"/>
          <w:sz w:val="24"/>
          <w:szCs w:val="24"/>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w:t>
      </w:r>
      <w:proofErr w:type="gramStart"/>
      <w:r>
        <w:rPr>
          <w:color w:val="000000"/>
          <w:sz w:val="24"/>
          <w:szCs w:val="24"/>
        </w:rPr>
        <w:t>Event;</w:t>
      </w:r>
      <w:proofErr w:type="gramEnd"/>
    </w:p>
    <w:p w14:paraId="6BDC9044" w14:textId="77777777" w:rsidR="000B07C4" w:rsidRDefault="00F84CBF">
      <w:pPr>
        <w:numPr>
          <w:ilvl w:val="1"/>
          <w:numId w:val="5"/>
        </w:numPr>
        <w:pBdr>
          <w:top w:val="nil"/>
          <w:left w:val="nil"/>
          <w:bottom w:val="nil"/>
          <w:right w:val="nil"/>
          <w:between w:val="nil"/>
        </w:pBdr>
        <w:ind w:left="1134"/>
        <w:rPr>
          <w:color w:val="000000"/>
          <w:sz w:val="24"/>
          <w:szCs w:val="24"/>
        </w:rPr>
      </w:pPr>
      <w:r>
        <w:rPr>
          <w:color w:val="000000"/>
          <w:sz w:val="24"/>
          <w:szCs w:val="24"/>
        </w:rPr>
        <w:t xml:space="preserve">ensure that the information is presented </w:t>
      </w:r>
      <w:proofErr w:type="gramStart"/>
      <w:r>
        <w:rPr>
          <w:color w:val="000000"/>
          <w:sz w:val="24"/>
          <w:szCs w:val="24"/>
        </w:rPr>
        <w:t>so as to</w:t>
      </w:r>
      <w:proofErr w:type="gramEnd"/>
      <w:r>
        <w:rPr>
          <w:color w:val="000000"/>
          <w:sz w:val="24"/>
          <w:szCs w:val="24"/>
        </w:rPr>
        <w:t xml:space="preserve"> provide a simple, effective and easily understood overview of the Supplier Group; and</w:t>
      </w:r>
    </w:p>
    <w:p w14:paraId="07977A3E" w14:textId="77777777" w:rsidR="000B07C4" w:rsidRDefault="00F84CBF">
      <w:pPr>
        <w:numPr>
          <w:ilvl w:val="1"/>
          <w:numId w:val="5"/>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Supplier Group’s UK Public Sector Business and CNI contracts listed pursuant to Appendix 2 and the dependencies between each.</w:t>
      </w:r>
    </w:p>
    <w:p w14:paraId="5939419D" w14:textId="77777777" w:rsidR="000B07C4" w:rsidRDefault="00F84CBF">
      <w:pPr>
        <w:ind w:firstLine="1418"/>
      </w:pPr>
      <w:r>
        <w:br w:type="page"/>
      </w:r>
    </w:p>
    <w:p w14:paraId="0496FA82" w14:textId="77777777" w:rsidR="000B07C4" w:rsidRDefault="00F84CBF">
      <w:pPr>
        <w:ind w:left="0"/>
        <w:rPr>
          <w:b/>
          <w:sz w:val="32"/>
          <w:szCs w:val="32"/>
        </w:rPr>
      </w:pPr>
      <w:r>
        <w:rPr>
          <w:b/>
          <w:sz w:val="32"/>
          <w:szCs w:val="32"/>
        </w:rPr>
        <w:lastRenderedPageBreak/>
        <w:t>Appendix 2: UK Public Sector / CNI Contract Information</w:t>
      </w:r>
    </w:p>
    <w:p w14:paraId="2F14F1DE" w14:textId="77777777" w:rsidR="000B07C4" w:rsidRDefault="00F84CBF">
      <w:pPr>
        <w:numPr>
          <w:ilvl w:val="0"/>
          <w:numId w:val="1"/>
        </w:numPr>
        <w:pBdr>
          <w:top w:val="nil"/>
          <w:left w:val="nil"/>
          <w:bottom w:val="nil"/>
          <w:right w:val="nil"/>
          <w:between w:val="nil"/>
        </w:pBdr>
        <w:rPr>
          <w:color w:val="000000"/>
          <w:sz w:val="24"/>
          <w:szCs w:val="24"/>
        </w:rPr>
      </w:pPr>
      <w:r>
        <w:rPr>
          <w:color w:val="000000"/>
          <w:sz w:val="24"/>
          <w:szCs w:val="24"/>
        </w:rPr>
        <w:t>The Supplier shall:</w:t>
      </w:r>
    </w:p>
    <w:p w14:paraId="518FA4AB" w14:textId="77777777" w:rsidR="000B07C4" w:rsidRDefault="00F84CBF">
      <w:pPr>
        <w:numPr>
          <w:ilvl w:val="1"/>
          <w:numId w:val="1"/>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14:paraId="0EAD17DB" w14:textId="77777777" w:rsidR="000B07C4" w:rsidRDefault="00F84CBF">
      <w:pPr>
        <w:numPr>
          <w:ilvl w:val="2"/>
          <w:numId w:val="1"/>
        </w:numPr>
        <w:pBdr>
          <w:top w:val="nil"/>
          <w:left w:val="nil"/>
          <w:bottom w:val="nil"/>
          <w:right w:val="nil"/>
          <w:between w:val="nil"/>
        </w:pBdr>
        <w:rPr>
          <w:color w:val="000000"/>
          <w:sz w:val="24"/>
          <w:szCs w:val="24"/>
        </w:rPr>
      </w:pPr>
      <w:r>
        <w:rPr>
          <w:color w:val="000000"/>
          <w:sz w:val="24"/>
          <w:szCs w:val="24"/>
        </w:rPr>
        <w:t xml:space="preserve">are with any UK public sector bodies </w:t>
      </w:r>
      <w:proofErr w:type="gramStart"/>
      <w:r>
        <w:rPr>
          <w:color w:val="000000"/>
          <w:sz w:val="24"/>
          <w:szCs w:val="24"/>
        </w:rPr>
        <w:t>including:</w:t>
      </w:r>
      <w:proofErr w:type="gramEnd"/>
      <w:r>
        <w:rPr>
          <w:color w:val="000000"/>
          <w:sz w:val="24"/>
          <w:szCs w:val="24"/>
        </w:rPr>
        <w:t xml:space="preserve"> central Government departments and their arms-length bodies and agencies, non-departmental public bodies, NHS bodies, local authorities, health bodies, police fire and rescue, education bodies and the devolved administrations;</w:t>
      </w:r>
    </w:p>
    <w:p w14:paraId="2178D6F8" w14:textId="77777777" w:rsidR="000B07C4" w:rsidRDefault="00F84CBF">
      <w:pPr>
        <w:numPr>
          <w:ilvl w:val="2"/>
          <w:numId w:val="1"/>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33DBBA97" w14:textId="77777777" w:rsidR="000B07C4" w:rsidRDefault="00F84CBF">
      <w:pPr>
        <w:numPr>
          <w:ilvl w:val="2"/>
          <w:numId w:val="1"/>
        </w:numPr>
        <w:pBdr>
          <w:top w:val="nil"/>
          <w:left w:val="nil"/>
          <w:bottom w:val="nil"/>
          <w:right w:val="nil"/>
          <w:between w:val="nil"/>
        </w:pBdr>
        <w:rPr>
          <w:color w:val="000000"/>
          <w:sz w:val="24"/>
          <w:szCs w:val="24"/>
        </w:rPr>
      </w:pPr>
      <w:r>
        <w:rPr>
          <w:color w:val="000000"/>
          <w:sz w:val="24"/>
          <w:szCs w:val="24"/>
        </w:rPr>
        <w:t xml:space="preserve">involve or could reasonably be considered to involve </w:t>
      </w:r>
      <w:proofErr w:type="gramStart"/>
      <w:r>
        <w:rPr>
          <w:color w:val="000000"/>
          <w:sz w:val="24"/>
          <w:szCs w:val="24"/>
        </w:rPr>
        <w:t>CNI;</w:t>
      </w:r>
      <w:proofErr w:type="gramEnd"/>
    </w:p>
    <w:p w14:paraId="0F920C2C" w14:textId="77777777" w:rsidR="000B07C4" w:rsidRDefault="00F84CBF">
      <w:pPr>
        <w:numPr>
          <w:ilvl w:val="1"/>
          <w:numId w:val="1"/>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14:paraId="70E9BB3D" w14:textId="77777777" w:rsidR="000B07C4" w:rsidRDefault="000B07C4">
      <w:pPr>
        <w:pBdr>
          <w:top w:val="nil"/>
          <w:left w:val="nil"/>
          <w:bottom w:val="nil"/>
          <w:right w:val="nil"/>
          <w:between w:val="nil"/>
        </w:pBdr>
        <w:spacing w:before="120" w:after="120"/>
        <w:ind w:left="0"/>
        <w:jc w:val="left"/>
        <w:rPr>
          <w:color w:val="000000"/>
          <w:sz w:val="24"/>
          <w:szCs w:val="24"/>
        </w:rPr>
      </w:pPr>
    </w:p>
    <w:p w14:paraId="51C10965" w14:textId="77777777" w:rsidR="000B07C4" w:rsidRDefault="00F84CBF">
      <w:pPr>
        <w:pBdr>
          <w:top w:val="nil"/>
          <w:left w:val="nil"/>
          <w:bottom w:val="nil"/>
          <w:right w:val="nil"/>
          <w:between w:val="nil"/>
        </w:pBdr>
        <w:spacing w:before="120" w:after="120"/>
        <w:ind w:left="0"/>
        <w:jc w:val="left"/>
        <w:rPr>
          <w:color w:val="000000"/>
          <w:sz w:val="24"/>
          <w:szCs w:val="24"/>
        </w:rPr>
      </w:pPr>
      <w:r>
        <w:t xml:space="preserve">     </w:t>
      </w:r>
    </w:p>
    <w:sectPr w:rsidR="000B07C4">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7CE14" w14:textId="77777777" w:rsidR="00F84CBF" w:rsidRDefault="00F84CBF">
      <w:pPr>
        <w:spacing w:after="0"/>
      </w:pPr>
      <w:r>
        <w:separator/>
      </w:r>
    </w:p>
  </w:endnote>
  <w:endnote w:type="continuationSeparator" w:id="0">
    <w:p w14:paraId="2C12505A" w14:textId="77777777" w:rsidR="00F84CBF" w:rsidRDefault="00F84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09234" w14:textId="77777777" w:rsidR="000B07C4" w:rsidRDefault="000B07C4">
    <w:pPr>
      <w:tabs>
        <w:tab w:val="center" w:pos="4513"/>
        <w:tab w:val="right" w:pos="9026"/>
      </w:tabs>
      <w:spacing w:after="0"/>
      <w:ind w:left="0"/>
      <w:rPr>
        <w:rFonts w:ascii="Calibri" w:eastAsia="Calibri" w:hAnsi="Calibri" w:cs="Calibri"/>
        <w:color w:val="A6A6A6"/>
      </w:rPr>
    </w:pPr>
  </w:p>
  <w:p w14:paraId="0195A957" w14:textId="77777777" w:rsidR="000B07C4" w:rsidRDefault="00F84CB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RM6098</w:t>
    </w:r>
  </w:p>
  <w:p w14:paraId="658E16EA" w14:textId="77777777" w:rsidR="000B07C4" w:rsidRDefault="00F84CB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p w14:paraId="17120493" w14:textId="77777777" w:rsidR="000B07C4" w:rsidRDefault="00F84CBF">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 xml:space="preserve">3 fix </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6C04" w14:textId="77777777" w:rsidR="000B07C4" w:rsidRDefault="00F84CB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AAC8423" w14:textId="77777777" w:rsidR="000B07C4" w:rsidRDefault="00F84CB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1755EC6A" w14:textId="77777777" w:rsidR="000B07C4" w:rsidRDefault="00F84CB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C262E" w14:textId="77777777" w:rsidR="00F84CBF" w:rsidRDefault="00F84CBF">
      <w:pPr>
        <w:spacing w:after="0"/>
      </w:pPr>
      <w:r>
        <w:separator/>
      </w:r>
    </w:p>
  </w:footnote>
  <w:footnote w:type="continuationSeparator" w:id="0">
    <w:p w14:paraId="74EE04B1" w14:textId="77777777" w:rsidR="00F84CBF" w:rsidRDefault="00F84C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80F55" w14:textId="77777777" w:rsidR="000B07C4" w:rsidRDefault="00F84CBF">
    <w:pPr>
      <w:tabs>
        <w:tab w:val="center" w:pos="4513"/>
        <w:tab w:val="right" w:pos="9026"/>
      </w:tabs>
      <w:spacing w:after="0"/>
      <w:ind w:left="0"/>
      <w:jc w:val="left"/>
      <w:rPr>
        <w:sz w:val="20"/>
        <w:szCs w:val="20"/>
      </w:rPr>
    </w:pPr>
    <w:r>
      <w:rPr>
        <w:b/>
        <w:sz w:val="20"/>
        <w:szCs w:val="20"/>
      </w:rPr>
      <w:t>Call-Off Schedule 8 (Business Continuity and Disaster Recovery)</w:t>
    </w:r>
  </w:p>
  <w:p w14:paraId="20B0F81D" w14:textId="77777777" w:rsidR="000B07C4" w:rsidRDefault="00F84CBF">
    <w:pPr>
      <w:tabs>
        <w:tab w:val="center" w:pos="4513"/>
        <w:tab w:val="right" w:pos="9026"/>
      </w:tabs>
      <w:spacing w:after="0"/>
      <w:ind w:left="0"/>
      <w:jc w:val="left"/>
      <w:rPr>
        <w:sz w:val="20"/>
        <w:szCs w:val="20"/>
      </w:rPr>
    </w:pPr>
    <w:r>
      <w:rPr>
        <w:sz w:val="20"/>
        <w:szCs w:val="20"/>
      </w:rPr>
      <w:t>Call-Off Ref:</w:t>
    </w:r>
  </w:p>
  <w:p w14:paraId="402B27E8" w14:textId="77777777" w:rsidR="000B07C4" w:rsidRDefault="00F84CBF">
    <w:pPr>
      <w:tabs>
        <w:tab w:val="center" w:pos="4513"/>
        <w:tab w:val="right" w:pos="9026"/>
      </w:tabs>
      <w:spacing w:after="0"/>
      <w:ind w:left="0"/>
      <w:jc w:val="left"/>
      <w:rPr>
        <w:sz w:val="20"/>
        <w:szCs w:val="20"/>
      </w:rPr>
    </w:pPr>
    <w:r>
      <w:rPr>
        <w:sz w:val="20"/>
        <w:szCs w:val="20"/>
      </w:rPr>
      <w:t>Crown Copyright 2021</w:t>
    </w:r>
  </w:p>
  <w:p w14:paraId="52A6D209" w14:textId="77777777" w:rsidR="000B07C4" w:rsidRDefault="000B07C4">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D1FFF"/>
    <w:multiLevelType w:val="multilevel"/>
    <w:tmpl w:val="86F4A91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DAB56D9"/>
    <w:multiLevelType w:val="multilevel"/>
    <w:tmpl w:val="07D0F99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E2158C8"/>
    <w:multiLevelType w:val="multilevel"/>
    <w:tmpl w:val="5DAE439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5E524220"/>
    <w:multiLevelType w:val="multilevel"/>
    <w:tmpl w:val="23642E2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69C616CC"/>
    <w:multiLevelType w:val="multilevel"/>
    <w:tmpl w:val="8940E5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565920205">
    <w:abstractNumId w:val="4"/>
  </w:num>
  <w:num w:numId="2" w16cid:durableId="151412157">
    <w:abstractNumId w:val="1"/>
  </w:num>
  <w:num w:numId="3" w16cid:durableId="1362783211">
    <w:abstractNumId w:val="0"/>
  </w:num>
  <w:num w:numId="4" w16cid:durableId="1292712331">
    <w:abstractNumId w:val="3"/>
  </w:num>
  <w:num w:numId="5" w16cid:durableId="1272084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7C4"/>
    <w:rsid w:val="000B07C4"/>
    <w:rsid w:val="00655369"/>
    <w:rsid w:val="00F84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8C754"/>
  <w15:docId w15:val="{51D36328-F564-4BA3-AA68-22D1C15F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5695</Words>
  <Characters>32464</Characters>
  <Application>Microsoft Office Word</Application>
  <DocSecurity>4</DocSecurity>
  <Lines>270</Lines>
  <Paragraphs>76</Paragraphs>
  <ScaleCrop>false</ScaleCrop>
  <Company/>
  <LinksUpToDate>false</LinksUpToDate>
  <CharactersWithSpaces>38083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Heppenstall, Michael D (Air-Comrcl Offcr 4)</dc:creator>
  <cp:lastModifiedBy>Heppenstall, Michael D (Air-Comrcl Offcr 4)</cp:lastModifiedBy>
  <cp:revision>2</cp:revision>
  <dcterms:created xsi:type="dcterms:W3CDTF">2025-05-12T10:48:00Z</dcterms:created>
  <dcterms:modified xsi:type="dcterms:W3CDTF">2025-05-12T10:48:00Z</dcterms:modified>
</cp:coreProperties>
</file>